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E44" w:rsidRDefault="00BE0F28">
      <w:pPr>
        <w:spacing w:line="360" w:lineRule="auto"/>
        <w:jc w:val="center"/>
        <w:rPr>
          <w:rFonts w:ascii="Heiti SC Medium" w:eastAsia="Heiti SC Medium" w:hAnsi="Heiti SC Medium" w:cs="Heiti SC Medium"/>
          <w:b/>
          <w:bCs/>
          <w:sz w:val="28"/>
          <w:szCs w:val="28"/>
        </w:rPr>
      </w:pPr>
      <w:r>
        <w:rPr>
          <w:rFonts w:ascii="Heiti SC Medium" w:eastAsia="Heiti SC Medium" w:hAnsi="Heiti SC Medium" w:cs="Heiti SC Medium" w:hint="eastAsia"/>
          <w:b/>
          <w:bCs/>
          <w:sz w:val="28"/>
          <w:szCs w:val="28"/>
        </w:rPr>
        <w:t>广东科学中心</w:t>
      </w:r>
      <w:r>
        <w:rPr>
          <w:rFonts w:ascii="Heiti SC Medium" w:eastAsia="Heiti SC Medium" w:hAnsi="Heiti SC Medium" w:cs="Heiti SC Medium" w:hint="eastAsia"/>
          <w:b/>
          <w:bCs/>
          <w:sz w:val="28"/>
          <w:szCs w:val="28"/>
        </w:rPr>
        <w:t>局部高压电力</w:t>
      </w:r>
      <w:r>
        <w:rPr>
          <w:rFonts w:ascii="Heiti SC Medium" w:eastAsia="Heiti SC Medium" w:hAnsi="Heiti SC Medium" w:cs="Heiti SC Medium" w:hint="eastAsia"/>
          <w:b/>
          <w:bCs/>
          <w:sz w:val="28"/>
          <w:szCs w:val="28"/>
        </w:rPr>
        <w:t>管廊迁改</w:t>
      </w:r>
    </w:p>
    <w:p w:rsidR="00605E44" w:rsidRDefault="00BE0F28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一、项目概况</w:t>
      </w:r>
      <w:r w:rsidR="00227EEB">
        <w:rPr>
          <w:rFonts w:asciiTheme="minorEastAsia" w:hAnsiTheme="minorEastAsia" w:cstheme="minorEastAsia" w:hint="eastAsia"/>
          <w:b/>
          <w:bCs/>
          <w:sz w:val="24"/>
        </w:rPr>
        <w:t>与勘察要求</w:t>
      </w:r>
    </w:p>
    <w:p w:rsidR="00605E44" w:rsidRDefault="00BE0F28" w:rsidP="00C46DD8">
      <w:pPr>
        <w:spacing w:line="360" w:lineRule="auto"/>
        <w:ind w:left="425" w:hanging="425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1</w:t>
      </w:r>
      <w:r w:rsidR="00227EEB"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项目名称：广东科学中心</w:t>
      </w:r>
      <w:r>
        <w:rPr>
          <w:rFonts w:asciiTheme="minorEastAsia" w:hAnsiTheme="minorEastAsia" w:cstheme="minorEastAsia" w:hint="eastAsia"/>
          <w:sz w:val="24"/>
        </w:rPr>
        <w:t>局部高压电力管廊</w:t>
      </w:r>
      <w:r>
        <w:rPr>
          <w:rFonts w:asciiTheme="minorEastAsia" w:hAnsiTheme="minorEastAsia" w:cstheme="minorEastAsia" w:hint="eastAsia"/>
          <w:sz w:val="24"/>
        </w:rPr>
        <w:t>迁改项目</w:t>
      </w:r>
    </w:p>
    <w:p w:rsidR="00605E44" w:rsidRDefault="00BE0F28" w:rsidP="00C46DD8">
      <w:pPr>
        <w:spacing w:line="360" w:lineRule="auto"/>
        <w:ind w:left="425" w:hanging="425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/>
          <w:sz w:val="24"/>
        </w:rPr>
        <w:t>2</w:t>
      </w:r>
      <w:r w:rsidR="00227EEB"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项目地点：外围北侧</w:t>
      </w:r>
      <w:r>
        <w:rPr>
          <w:rFonts w:asciiTheme="minorEastAsia" w:hAnsiTheme="minorEastAsia" w:cstheme="minorEastAsia" w:hint="eastAsia"/>
          <w:sz w:val="24"/>
        </w:rPr>
        <w:t>综合服务</w:t>
      </w:r>
      <w:r>
        <w:rPr>
          <w:rFonts w:asciiTheme="minorEastAsia" w:hAnsiTheme="minorEastAsia" w:cstheme="minorEastAsia" w:hint="eastAsia"/>
          <w:sz w:val="24"/>
        </w:rPr>
        <w:t>区</w:t>
      </w:r>
      <w:r>
        <w:rPr>
          <w:rFonts w:asciiTheme="minorEastAsia" w:hAnsiTheme="minorEastAsia" w:cstheme="minorEastAsia" w:hint="eastAsia"/>
          <w:sz w:val="24"/>
        </w:rPr>
        <w:t>位置</w:t>
      </w:r>
    </w:p>
    <w:p w:rsidR="00227EEB" w:rsidRDefault="00227EEB" w:rsidP="00C46DD8">
      <w:pPr>
        <w:spacing w:line="360" w:lineRule="auto"/>
        <w:ind w:left="425" w:hanging="425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3、</w:t>
      </w:r>
      <w:r w:rsidRPr="00C46DD8">
        <w:rPr>
          <w:rFonts w:asciiTheme="minorEastAsia" w:hAnsiTheme="minorEastAsia" w:cstheme="minorEastAsia" w:hint="eastAsia"/>
          <w:sz w:val="24"/>
        </w:rPr>
        <w:t>本项目投标前必须组织现场勘察。</w:t>
      </w:r>
    </w:p>
    <w:p w:rsidR="00605E44" w:rsidRDefault="00BE0F28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二、迁改</w:t>
      </w:r>
      <w:r>
        <w:rPr>
          <w:rFonts w:asciiTheme="minorEastAsia" w:hAnsiTheme="minorEastAsia" w:cstheme="minorEastAsia" w:hint="eastAsia"/>
          <w:b/>
          <w:bCs/>
          <w:sz w:val="24"/>
        </w:rPr>
        <w:t>内容</w:t>
      </w:r>
      <w:bookmarkStart w:id="0" w:name="_GoBack"/>
      <w:bookmarkEnd w:id="0"/>
    </w:p>
    <w:p w:rsidR="00605E44" w:rsidRDefault="00BE0F28" w:rsidP="00C46DD8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对原</w:t>
      </w:r>
      <w:r>
        <w:rPr>
          <w:rFonts w:asciiTheme="minorEastAsia" w:hAnsiTheme="minorEastAsia" w:cstheme="minorEastAsia" w:hint="eastAsia"/>
          <w:sz w:val="24"/>
        </w:rPr>
        <w:t>综合服务区</w:t>
      </w:r>
      <w:r>
        <w:rPr>
          <w:rFonts w:asciiTheme="minorEastAsia" w:hAnsiTheme="minorEastAsia" w:cstheme="minorEastAsia" w:hint="eastAsia"/>
          <w:sz w:val="24"/>
        </w:rPr>
        <w:t>位置</w:t>
      </w:r>
      <w:r>
        <w:rPr>
          <w:rFonts w:asciiTheme="minorEastAsia" w:hAnsiTheme="minorEastAsia" w:cstheme="minorEastAsia" w:hint="eastAsia"/>
          <w:sz w:val="24"/>
        </w:rPr>
        <w:t>局部高压电力管廊进行迁改，包含</w:t>
      </w:r>
      <w:proofErr w:type="gramStart"/>
      <w:r>
        <w:rPr>
          <w:rFonts w:asciiTheme="minorEastAsia" w:hAnsiTheme="minorEastAsia" w:cstheme="minorEastAsia" w:hint="eastAsia"/>
          <w:sz w:val="24"/>
        </w:rPr>
        <w:t>迁改</w:t>
      </w:r>
      <w:r>
        <w:rPr>
          <w:rFonts w:asciiTheme="minorEastAsia" w:hAnsiTheme="minorEastAsia" w:cstheme="minorEastAsia" w:hint="eastAsia"/>
          <w:sz w:val="24"/>
        </w:rPr>
        <w:t>原高压</w:t>
      </w:r>
      <w:proofErr w:type="gramEnd"/>
      <w:r>
        <w:rPr>
          <w:rFonts w:asciiTheme="minorEastAsia" w:hAnsiTheme="minorEastAsia" w:cstheme="minorEastAsia" w:hint="eastAsia"/>
          <w:sz w:val="24"/>
        </w:rPr>
        <w:t>管廊</w:t>
      </w:r>
      <w:r>
        <w:rPr>
          <w:rFonts w:asciiTheme="minorEastAsia" w:hAnsiTheme="minorEastAsia" w:cstheme="minorEastAsia" w:hint="eastAsia"/>
          <w:sz w:val="24"/>
        </w:rPr>
        <w:t>#5</w:t>
      </w:r>
      <w:r>
        <w:rPr>
          <w:rFonts w:asciiTheme="minorEastAsia" w:hAnsiTheme="minorEastAsia" w:cstheme="minorEastAsia" w:hint="eastAsia"/>
          <w:sz w:val="24"/>
        </w:rPr>
        <w:t>转角井至</w:t>
      </w:r>
      <w:r>
        <w:rPr>
          <w:rFonts w:asciiTheme="minorEastAsia" w:hAnsiTheme="minorEastAsia" w:cstheme="minorEastAsia" w:hint="eastAsia"/>
          <w:sz w:val="24"/>
        </w:rPr>
        <w:t>#8</w:t>
      </w:r>
      <w:r>
        <w:rPr>
          <w:rFonts w:asciiTheme="minorEastAsia" w:hAnsiTheme="minorEastAsia" w:cstheme="minorEastAsia" w:hint="eastAsia"/>
          <w:sz w:val="24"/>
        </w:rPr>
        <w:t>转角井</w:t>
      </w:r>
      <w:r>
        <w:rPr>
          <w:rFonts w:asciiTheme="minorEastAsia" w:hAnsiTheme="minorEastAsia" w:cstheme="minorEastAsia" w:hint="eastAsia"/>
          <w:sz w:val="24"/>
        </w:rPr>
        <w:t>电力管廊</w:t>
      </w:r>
      <w:r>
        <w:rPr>
          <w:rFonts w:asciiTheme="minorEastAsia" w:hAnsiTheme="minorEastAsia" w:cstheme="minorEastAsia" w:hint="eastAsia"/>
          <w:sz w:val="24"/>
        </w:rPr>
        <w:t>共</w:t>
      </w:r>
      <w:r>
        <w:rPr>
          <w:rFonts w:asciiTheme="minorEastAsia" w:hAnsiTheme="minorEastAsia" w:cstheme="minorEastAsia" w:hint="eastAsia"/>
          <w:sz w:val="24"/>
        </w:rPr>
        <w:t>80</w:t>
      </w:r>
      <w:r>
        <w:rPr>
          <w:rFonts w:asciiTheme="minorEastAsia" w:hAnsiTheme="minorEastAsia" w:cstheme="minorEastAsia" w:hint="eastAsia"/>
          <w:sz w:val="24"/>
        </w:rPr>
        <w:t>米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个预制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层</w:t>
      </w: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列排管行车井；原有电缆</w:t>
      </w:r>
      <w:r>
        <w:rPr>
          <w:rFonts w:asciiTheme="minorEastAsia" w:hAnsiTheme="minorEastAsia" w:cstheme="minorEastAsia" w:hint="eastAsia"/>
          <w:sz w:val="24"/>
        </w:rPr>
        <w:t>240</w:t>
      </w:r>
      <w:r>
        <w:rPr>
          <w:rFonts w:asciiTheme="minorEastAsia" w:hAnsiTheme="minorEastAsia" w:cstheme="minorEastAsia" w:hint="eastAsia"/>
          <w:sz w:val="24"/>
        </w:rPr>
        <w:t>米。</w:t>
      </w:r>
      <w:r w:rsidR="00227EEB">
        <w:rPr>
          <w:rFonts w:asciiTheme="minorEastAsia" w:hAnsiTheme="minorEastAsia" w:cstheme="minorEastAsia" w:hint="eastAsia"/>
          <w:sz w:val="24"/>
        </w:rPr>
        <w:t>详见工程量清单。</w:t>
      </w:r>
    </w:p>
    <w:p w:rsidR="00605E44" w:rsidRDefault="00BE0F28">
      <w:pPr>
        <w:spacing w:line="360" w:lineRule="auto"/>
        <w:jc w:val="center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noProof/>
          <w:sz w:val="24"/>
        </w:rPr>
        <w:drawing>
          <wp:inline distT="0" distB="0" distL="114300" distR="114300" wp14:anchorId="3E6CBD32" wp14:editId="6CA30951">
            <wp:extent cx="4964430" cy="3910330"/>
            <wp:effectExtent l="0" t="0" r="7620" b="13970"/>
            <wp:docPr id="2" name="图片 2" descr="066f1e6a84f58fa802795f63267e1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6f1e6a84f58fa802795f63267e1c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4430" cy="391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E44" w:rsidRDefault="00BE0F28">
      <w:pPr>
        <w:spacing w:line="360" w:lineRule="auto"/>
        <w:jc w:val="center"/>
        <w:rPr>
          <w:rFonts w:asciiTheme="minorEastAsia" w:hAnsiTheme="minorEastAsia" w:cstheme="minorEastAsia"/>
          <w:sz w:val="18"/>
          <w:szCs w:val="18"/>
        </w:rPr>
      </w:pPr>
      <w:r>
        <w:rPr>
          <w:rFonts w:asciiTheme="minorEastAsia" w:hAnsiTheme="minorEastAsia" w:cstheme="minorEastAsia" w:hint="eastAsia"/>
          <w:sz w:val="18"/>
          <w:szCs w:val="18"/>
        </w:rPr>
        <w:t>（图：高压电缆迁移位置）</w:t>
      </w:r>
    </w:p>
    <w:p w:rsidR="00605E44" w:rsidRDefault="00BE0F28" w:rsidP="00C46DD8">
      <w:pPr>
        <w:numPr>
          <w:ilvl w:val="255"/>
          <w:numId w:val="0"/>
        </w:num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三</w:t>
      </w:r>
      <w:r>
        <w:rPr>
          <w:rFonts w:asciiTheme="minorEastAsia" w:hAnsiTheme="minorEastAsia" w:cstheme="minorEastAsia" w:hint="eastAsia"/>
          <w:b/>
          <w:bCs/>
          <w:sz w:val="24"/>
        </w:rPr>
        <w:t>、迁改</w:t>
      </w:r>
      <w:r>
        <w:rPr>
          <w:rFonts w:asciiTheme="minorEastAsia" w:hAnsiTheme="minorEastAsia" w:cstheme="minorEastAsia" w:hint="eastAsia"/>
          <w:b/>
          <w:bCs/>
          <w:sz w:val="24"/>
        </w:rPr>
        <w:t>要求</w:t>
      </w:r>
    </w:p>
    <w:p w:rsidR="00605E44" w:rsidRDefault="00BE0F28" w:rsidP="00C46DD8">
      <w:pPr>
        <w:numPr>
          <w:ilvl w:val="255"/>
          <w:numId w:val="0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中标</w:t>
      </w:r>
      <w:r>
        <w:rPr>
          <w:rFonts w:asciiTheme="minorEastAsia" w:hAnsiTheme="minorEastAsia" w:cstheme="minorEastAsia" w:hint="eastAsia"/>
          <w:sz w:val="24"/>
        </w:rPr>
        <w:t>单位及</w:t>
      </w:r>
      <w:r>
        <w:rPr>
          <w:rFonts w:asciiTheme="minorEastAsia" w:hAnsiTheme="minorEastAsia" w:cstheme="minorEastAsia" w:hint="eastAsia"/>
          <w:sz w:val="24"/>
        </w:rPr>
        <w:t>负责的</w:t>
      </w:r>
      <w:r>
        <w:rPr>
          <w:rFonts w:asciiTheme="minorEastAsia" w:hAnsiTheme="minorEastAsia" w:cstheme="minorEastAsia" w:hint="eastAsia"/>
          <w:sz w:val="24"/>
        </w:rPr>
        <w:t>施工人员必须具备从事本工程</w:t>
      </w:r>
      <w:r>
        <w:rPr>
          <w:rFonts w:asciiTheme="minorEastAsia" w:hAnsiTheme="minorEastAsia" w:cstheme="minorEastAsia" w:hint="eastAsia"/>
          <w:sz w:val="24"/>
        </w:rPr>
        <w:t>的国家或行业</w:t>
      </w:r>
      <w:r>
        <w:rPr>
          <w:rFonts w:asciiTheme="minorEastAsia" w:hAnsiTheme="minorEastAsia" w:cstheme="minorEastAsia" w:hint="eastAsia"/>
          <w:sz w:val="24"/>
        </w:rPr>
        <w:t>相关资质要求。</w:t>
      </w:r>
    </w:p>
    <w:p w:rsidR="00605E44" w:rsidRDefault="00BE0F28" w:rsidP="00C46DD8">
      <w:pPr>
        <w:numPr>
          <w:ilvl w:val="255"/>
          <w:numId w:val="0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中标单位必须</w:t>
      </w:r>
      <w:proofErr w:type="gramStart"/>
      <w:r>
        <w:rPr>
          <w:rFonts w:asciiTheme="minorEastAsia" w:hAnsiTheme="minorEastAsia" w:cstheme="minorEastAsia" w:hint="eastAsia"/>
          <w:sz w:val="24"/>
        </w:rPr>
        <w:t>包</w:t>
      </w:r>
      <w:r>
        <w:rPr>
          <w:rFonts w:asciiTheme="minorEastAsia" w:hAnsiTheme="minorEastAsia" w:cstheme="minorEastAsia" w:hint="eastAsia"/>
          <w:sz w:val="24"/>
        </w:rPr>
        <w:t>负责</w:t>
      </w:r>
      <w:proofErr w:type="gramEnd"/>
      <w:r>
        <w:rPr>
          <w:rFonts w:asciiTheme="minorEastAsia" w:hAnsiTheme="minorEastAsia" w:cstheme="minorEastAsia" w:hint="eastAsia"/>
          <w:sz w:val="24"/>
        </w:rPr>
        <w:t>及时</w:t>
      </w:r>
      <w:r>
        <w:rPr>
          <w:rFonts w:asciiTheme="minorEastAsia" w:hAnsiTheme="minorEastAsia" w:cstheme="minorEastAsia" w:hint="eastAsia"/>
          <w:sz w:val="24"/>
        </w:rPr>
        <w:t>办理</w:t>
      </w:r>
      <w:r>
        <w:rPr>
          <w:rFonts w:asciiTheme="minorEastAsia" w:hAnsiTheme="minorEastAsia" w:cstheme="minorEastAsia" w:hint="eastAsia"/>
          <w:sz w:val="24"/>
        </w:rPr>
        <w:t>完成本项目工作内容</w:t>
      </w:r>
      <w:r>
        <w:rPr>
          <w:rFonts w:asciiTheme="minorEastAsia" w:hAnsiTheme="minorEastAsia" w:cstheme="minorEastAsia" w:hint="eastAsia"/>
          <w:sz w:val="24"/>
        </w:rPr>
        <w:t>所需</w:t>
      </w:r>
      <w:r>
        <w:rPr>
          <w:rFonts w:asciiTheme="minorEastAsia" w:hAnsiTheme="minorEastAsia" w:cstheme="minorEastAsia" w:hint="eastAsia"/>
          <w:sz w:val="24"/>
        </w:rPr>
        <w:t>的全部相关手续。</w:t>
      </w:r>
    </w:p>
    <w:p w:rsidR="00605E44" w:rsidRDefault="00BE0F28" w:rsidP="00C46DD8">
      <w:pPr>
        <w:numPr>
          <w:ilvl w:val="255"/>
          <w:numId w:val="0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、中标单位必须</w:t>
      </w:r>
      <w:r>
        <w:rPr>
          <w:rFonts w:asciiTheme="minorEastAsia" w:hAnsiTheme="minorEastAsia" w:cstheme="minorEastAsia" w:hint="eastAsia"/>
          <w:sz w:val="24"/>
        </w:rPr>
        <w:t>在不</w:t>
      </w:r>
      <w:r>
        <w:rPr>
          <w:rFonts w:asciiTheme="minorEastAsia" w:hAnsiTheme="minorEastAsia" w:cstheme="minorEastAsia" w:hint="eastAsia"/>
          <w:sz w:val="24"/>
        </w:rPr>
        <w:t>影响广东科学中心正常开馆运营下，通过合理安排夜间施工等，按照要求的工期</w:t>
      </w:r>
      <w:r>
        <w:rPr>
          <w:rFonts w:asciiTheme="minorEastAsia" w:hAnsiTheme="minorEastAsia" w:cstheme="minorEastAsia" w:hint="eastAsia"/>
          <w:sz w:val="24"/>
        </w:rPr>
        <w:t>完成</w:t>
      </w:r>
      <w:r>
        <w:rPr>
          <w:rFonts w:asciiTheme="minorEastAsia" w:hAnsiTheme="minorEastAsia" w:cstheme="minorEastAsia" w:hint="eastAsia"/>
          <w:sz w:val="24"/>
        </w:rPr>
        <w:t>本项目工作。</w:t>
      </w:r>
    </w:p>
    <w:p w:rsidR="00605E44" w:rsidRDefault="00BE0F28" w:rsidP="00C46DD8">
      <w:pPr>
        <w:numPr>
          <w:ilvl w:val="255"/>
          <w:numId w:val="0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、中标单位在施工过程中，不能影响广东科学中心的正常开放。</w:t>
      </w:r>
    </w:p>
    <w:p w:rsidR="00605E44" w:rsidRDefault="00BE0F28" w:rsidP="00C46DD8">
      <w:pPr>
        <w:numPr>
          <w:ilvl w:val="255"/>
          <w:numId w:val="0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5</w:t>
      </w:r>
      <w:r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中标</w:t>
      </w:r>
      <w:r>
        <w:rPr>
          <w:rFonts w:asciiTheme="minorEastAsia" w:hAnsiTheme="minorEastAsia" w:cstheme="minorEastAsia" w:hint="eastAsia"/>
          <w:sz w:val="24"/>
        </w:rPr>
        <w:t>人自行</w:t>
      </w:r>
      <w:r>
        <w:rPr>
          <w:rFonts w:asciiTheme="minorEastAsia" w:hAnsiTheme="minorEastAsia" w:cstheme="minorEastAsia" w:hint="eastAsia"/>
          <w:sz w:val="24"/>
        </w:rPr>
        <w:t>准备足够的</w:t>
      </w:r>
      <w:r>
        <w:rPr>
          <w:rFonts w:asciiTheme="minorEastAsia" w:hAnsiTheme="minorEastAsia" w:cstheme="minorEastAsia" w:hint="eastAsia"/>
          <w:sz w:val="24"/>
        </w:rPr>
        <w:t>高压电力管廊迁</w:t>
      </w:r>
      <w:proofErr w:type="gramStart"/>
      <w:r>
        <w:rPr>
          <w:rFonts w:asciiTheme="minorEastAsia" w:hAnsiTheme="minorEastAsia" w:cstheme="minorEastAsia" w:hint="eastAsia"/>
          <w:sz w:val="24"/>
        </w:rPr>
        <w:t>改施工</w:t>
      </w:r>
      <w:proofErr w:type="gramEnd"/>
      <w:r>
        <w:rPr>
          <w:rFonts w:asciiTheme="minorEastAsia" w:hAnsiTheme="minorEastAsia" w:cstheme="minorEastAsia" w:hint="eastAsia"/>
          <w:sz w:val="24"/>
        </w:rPr>
        <w:t>所需</w:t>
      </w:r>
      <w:r>
        <w:rPr>
          <w:rFonts w:asciiTheme="minorEastAsia" w:hAnsiTheme="minorEastAsia" w:cstheme="minorEastAsia" w:hint="eastAsia"/>
          <w:sz w:val="24"/>
        </w:rPr>
        <w:t>安全措施</w:t>
      </w:r>
      <w:r>
        <w:rPr>
          <w:rFonts w:asciiTheme="minorEastAsia" w:hAnsiTheme="minorEastAsia" w:cstheme="minorEastAsia" w:hint="eastAsia"/>
          <w:sz w:val="24"/>
        </w:rPr>
        <w:t>材料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施工前</w:t>
      </w:r>
      <w:r>
        <w:rPr>
          <w:rFonts w:asciiTheme="minorEastAsia" w:hAnsiTheme="minorEastAsia" w:cstheme="minorEastAsia" w:hint="eastAsia"/>
          <w:sz w:val="24"/>
        </w:rPr>
        <w:t>报监理审核后实施</w:t>
      </w:r>
      <w:r>
        <w:rPr>
          <w:rFonts w:asciiTheme="minorEastAsia" w:hAnsiTheme="minorEastAsia" w:cstheme="minorEastAsia" w:hint="eastAsia"/>
          <w:sz w:val="24"/>
        </w:rPr>
        <w:t>；</w:t>
      </w:r>
      <w:r>
        <w:rPr>
          <w:rFonts w:asciiTheme="minorEastAsia" w:hAnsiTheme="minorEastAsia" w:cstheme="minorEastAsia" w:hint="eastAsia"/>
          <w:sz w:val="24"/>
        </w:rPr>
        <w:t>施工中必须</w:t>
      </w:r>
      <w:r>
        <w:rPr>
          <w:rFonts w:asciiTheme="minorEastAsia" w:hAnsiTheme="minorEastAsia" w:cstheme="minorEastAsia" w:hint="eastAsia"/>
          <w:sz w:val="24"/>
        </w:rPr>
        <w:t>安排专人监护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确保施工质量与施工人员安全。</w:t>
      </w:r>
    </w:p>
    <w:p w:rsidR="00605E44" w:rsidRDefault="00BE0F28" w:rsidP="00C46DD8">
      <w:pPr>
        <w:spacing w:line="360" w:lineRule="auto"/>
        <w:ind w:left="425" w:hanging="425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电缆管廊施工</w:t>
      </w:r>
      <w:r>
        <w:rPr>
          <w:rFonts w:asciiTheme="minorEastAsia" w:hAnsiTheme="minorEastAsia" w:cstheme="minorEastAsia" w:hint="eastAsia"/>
          <w:sz w:val="24"/>
        </w:rPr>
        <w:t>须在收到中标通知书</w:t>
      </w:r>
      <w:r>
        <w:rPr>
          <w:rFonts w:asciiTheme="minorEastAsia" w:hAnsiTheme="minorEastAsia" w:cstheme="minorEastAsia" w:hint="eastAsia"/>
          <w:sz w:val="24"/>
        </w:rPr>
        <w:t>当日</w:t>
      </w:r>
      <w:r>
        <w:rPr>
          <w:rFonts w:asciiTheme="minorEastAsia" w:hAnsiTheme="minorEastAsia" w:cstheme="minorEastAsia" w:hint="eastAsia"/>
          <w:sz w:val="24"/>
        </w:rPr>
        <w:t>起</w:t>
      </w:r>
      <w:r>
        <w:rPr>
          <w:rFonts w:asciiTheme="minorEastAsia" w:hAnsiTheme="minorEastAsia" w:cstheme="minorEastAsia" w:hint="eastAsia"/>
          <w:sz w:val="24"/>
        </w:rPr>
        <w:t>20</w:t>
      </w:r>
      <w:r>
        <w:rPr>
          <w:rFonts w:asciiTheme="minorEastAsia" w:hAnsiTheme="minorEastAsia" w:cstheme="minorEastAsia" w:hint="eastAsia"/>
          <w:sz w:val="24"/>
        </w:rPr>
        <w:t>个</w:t>
      </w:r>
      <w:proofErr w:type="gramStart"/>
      <w:r>
        <w:rPr>
          <w:rFonts w:asciiTheme="minorEastAsia" w:hAnsiTheme="minorEastAsia" w:cstheme="minorEastAsia" w:hint="eastAsia"/>
          <w:sz w:val="24"/>
        </w:rPr>
        <w:t>日历</w:t>
      </w:r>
      <w:r>
        <w:rPr>
          <w:rFonts w:asciiTheme="minorEastAsia" w:hAnsiTheme="minorEastAsia" w:cstheme="minorEastAsia" w:hint="eastAsia"/>
          <w:sz w:val="24"/>
        </w:rPr>
        <w:t>天</w:t>
      </w:r>
      <w:proofErr w:type="gramEnd"/>
      <w:r>
        <w:rPr>
          <w:rFonts w:asciiTheme="minorEastAsia" w:hAnsiTheme="minorEastAsia" w:cstheme="minorEastAsia" w:hint="eastAsia"/>
          <w:sz w:val="24"/>
        </w:rPr>
        <w:t>内完成。</w:t>
      </w:r>
    </w:p>
    <w:p w:rsidR="00605E44" w:rsidRDefault="00BE0F28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四</w:t>
      </w:r>
      <w:r>
        <w:rPr>
          <w:rFonts w:asciiTheme="minorEastAsia" w:hAnsiTheme="minorEastAsia" w:cstheme="minorEastAsia" w:hint="eastAsia"/>
          <w:b/>
          <w:bCs/>
          <w:sz w:val="24"/>
        </w:rPr>
        <w:t>、技术要求与标准</w:t>
      </w:r>
    </w:p>
    <w:p w:rsidR="00605E44" w:rsidRDefault="00BE0F28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1. </w:t>
      </w:r>
      <w:r>
        <w:rPr>
          <w:rFonts w:asciiTheme="minorEastAsia" w:hAnsiTheme="minorEastAsia" w:cstheme="minorEastAsia" w:hint="eastAsia"/>
          <w:sz w:val="24"/>
        </w:rPr>
        <w:t>电缆迁改工程应遵循的国家、行业或地方技术标准</w:t>
      </w:r>
      <w:r>
        <w:rPr>
          <w:rFonts w:asciiTheme="minorEastAsia" w:hAnsiTheme="minorEastAsia" w:cstheme="minorEastAsia" w:hint="eastAsia"/>
          <w:sz w:val="24"/>
        </w:rPr>
        <w:t>GB 50168-2008</w:t>
      </w:r>
      <w:r>
        <w:rPr>
          <w:rFonts w:asciiTheme="minorEastAsia" w:hAnsiTheme="minorEastAsia" w:cstheme="minorEastAsia" w:hint="eastAsia"/>
          <w:sz w:val="24"/>
        </w:rPr>
        <w:t>《电气装置安装工程电缆线路施工及验收规范》施工。</w:t>
      </w:r>
    </w:p>
    <w:p w:rsidR="00605E44" w:rsidRDefault="00BE0F28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2. </w:t>
      </w:r>
      <w:r>
        <w:rPr>
          <w:rFonts w:asciiTheme="minorEastAsia" w:hAnsiTheme="minorEastAsia" w:cstheme="minorEastAsia" w:hint="eastAsia"/>
          <w:sz w:val="24"/>
        </w:rPr>
        <w:t>电缆迁改工程的质量要求和验收标准符合相关规范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完成相关检测、试验时均不能影响广东科学中心的正常开馆运营</w:t>
      </w:r>
      <w:r>
        <w:rPr>
          <w:rFonts w:asciiTheme="minorEastAsia" w:hAnsiTheme="minorEastAsia" w:cstheme="minorEastAsia" w:hint="eastAsia"/>
          <w:sz w:val="24"/>
        </w:rPr>
        <w:t>。</w:t>
      </w:r>
    </w:p>
    <w:p w:rsidR="00605E44" w:rsidRDefault="00BE0F28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3. </w:t>
      </w:r>
      <w:r>
        <w:rPr>
          <w:rFonts w:asciiTheme="minorEastAsia" w:hAnsiTheme="minorEastAsia" w:cstheme="minorEastAsia" w:hint="eastAsia"/>
          <w:color w:val="191B1F"/>
          <w:sz w:val="24"/>
          <w:shd w:val="clear" w:color="auto" w:fill="FFFFFF"/>
        </w:rPr>
        <w:t>土建作业符合《</w:t>
      </w:r>
      <w:r>
        <w:rPr>
          <w:rFonts w:asciiTheme="minorEastAsia" w:hAnsiTheme="minorEastAsia" w:cstheme="minorEastAsia" w:hint="eastAsia"/>
          <w:color w:val="191B1F"/>
          <w:sz w:val="24"/>
          <w:shd w:val="clear" w:color="auto" w:fill="FFFFFF"/>
        </w:rPr>
        <w:t>JGJ180-2009</w:t>
      </w:r>
      <w:r>
        <w:rPr>
          <w:rFonts w:asciiTheme="minorEastAsia" w:hAnsiTheme="minorEastAsia" w:cstheme="minorEastAsia" w:hint="eastAsia"/>
          <w:color w:val="191B1F"/>
          <w:sz w:val="24"/>
          <w:shd w:val="clear" w:color="auto" w:fill="FFFFFF"/>
        </w:rPr>
        <w:t>建筑施工土石方工程安全技术规范》施工。</w:t>
      </w:r>
    </w:p>
    <w:p w:rsidR="00605E44" w:rsidRDefault="00BE0F28">
      <w:pPr>
        <w:pStyle w:val="a4"/>
        <w:snapToGrid w:val="0"/>
        <w:spacing w:line="360" w:lineRule="auto"/>
        <w:ind w:rightChars="30" w:right="63" w:firstLineChars="0" w:firstLine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4. </w:t>
      </w:r>
      <w:r>
        <w:rPr>
          <w:rFonts w:asciiTheme="minorEastAsia" w:hAnsiTheme="minorEastAsia" w:hint="eastAsia"/>
          <w:sz w:val="24"/>
        </w:rPr>
        <w:t>按《施工及安全规定》规范施工</w:t>
      </w:r>
      <w:r>
        <w:rPr>
          <w:rFonts w:asciiTheme="minorEastAsia" w:hAnsiTheme="minorEastAsia" w:hint="eastAsia"/>
          <w:sz w:val="24"/>
        </w:rPr>
        <w:t>,</w:t>
      </w:r>
      <w:r>
        <w:rPr>
          <w:rFonts w:asciiTheme="minorEastAsia" w:hAnsiTheme="minorEastAsia" w:hint="eastAsia"/>
          <w:sz w:val="24"/>
        </w:rPr>
        <w:t>期间应采取相应措施，确保施工期间的施工安全及场馆运行安全。</w:t>
      </w:r>
    </w:p>
    <w:p w:rsidR="00605E44" w:rsidRDefault="00605E44">
      <w:pPr>
        <w:spacing w:line="360" w:lineRule="auto"/>
        <w:rPr>
          <w:rFonts w:asciiTheme="minorEastAsia" w:hAnsiTheme="minorEastAsia" w:cstheme="minorEastAsia"/>
          <w:sz w:val="24"/>
        </w:rPr>
      </w:pPr>
    </w:p>
    <w:sectPr w:rsidR="00605E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F28" w:rsidRDefault="00BE0F28" w:rsidP="00C46DD8">
      <w:r>
        <w:separator/>
      </w:r>
    </w:p>
  </w:endnote>
  <w:endnote w:type="continuationSeparator" w:id="0">
    <w:p w:rsidR="00BE0F28" w:rsidRDefault="00BE0F28" w:rsidP="00C4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F28" w:rsidRDefault="00BE0F28" w:rsidP="00C46DD8">
      <w:r>
        <w:separator/>
      </w:r>
    </w:p>
  </w:footnote>
  <w:footnote w:type="continuationSeparator" w:id="0">
    <w:p w:rsidR="00BE0F28" w:rsidRDefault="00BE0F28" w:rsidP="00C46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72265"/>
    <w:multiLevelType w:val="singleLevel"/>
    <w:tmpl w:val="52A72265"/>
    <w:lvl w:ilvl="0">
      <w:start w:val="2"/>
      <w:numFmt w:val="decimal"/>
      <w:suff w:val="space"/>
      <w:lvlText w:val="%1."/>
      <w:lvlJc w:val="left"/>
    </w:lvl>
  </w:abstractNum>
  <w:abstractNum w:abstractNumId="1">
    <w:nsid w:val="5F549D0B"/>
    <w:multiLevelType w:val="singleLevel"/>
    <w:tmpl w:val="5F549D0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懿">
    <w15:presenceInfo w15:providerId="None" w15:userId="李懿"/>
  </w15:person>
  <w15:person w15:author="熊志胜">
    <w15:presenceInfo w15:providerId="WPS Office" w15:userId="1568936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kYjFhZmZiODliYmI5ZGQwZjU4YjMyNzU0ZmJmZGUifQ=="/>
  </w:docVars>
  <w:rsids>
    <w:rsidRoot w:val="7DEF3A5F"/>
    <w:rsid w:val="00187089"/>
    <w:rsid w:val="00227EEB"/>
    <w:rsid w:val="00605E44"/>
    <w:rsid w:val="00A84654"/>
    <w:rsid w:val="00AD636D"/>
    <w:rsid w:val="00BE0F28"/>
    <w:rsid w:val="00C46DD8"/>
    <w:rsid w:val="00E55F28"/>
    <w:rsid w:val="011C7AF6"/>
    <w:rsid w:val="01505F15"/>
    <w:rsid w:val="041348BD"/>
    <w:rsid w:val="04191D20"/>
    <w:rsid w:val="05906246"/>
    <w:rsid w:val="069077A8"/>
    <w:rsid w:val="0ADF2419"/>
    <w:rsid w:val="102173FB"/>
    <w:rsid w:val="11FE728E"/>
    <w:rsid w:val="12633760"/>
    <w:rsid w:val="1794554B"/>
    <w:rsid w:val="1ACE6DB8"/>
    <w:rsid w:val="1EDF416B"/>
    <w:rsid w:val="273D3A5F"/>
    <w:rsid w:val="2C3C48EC"/>
    <w:rsid w:val="2D097143"/>
    <w:rsid w:val="2D231D0A"/>
    <w:rsid w:val="2D45146F"/>
    <w:rsid w:val="2D8C3818"/>
    <w:rsid w:val="313A1A4C"/>
    <w:rsid w:val="31F92F9B"/>
    <w:rsid w:val="323C64C0"/>
    <w:rsid w:val="32DA549B"/>
    <w:rsid w:val="368D6D75"/>
    <w:rsid w:val="399E550D"/>
    <w:rsid w:val="3CDB383D"/>
    <w:rsid w:val="3D8E5820"/>
    <w:rsid w:val="44072EDE"/>
    <w:rsid w:val="47C61ADA"/>
    <w:rsid w:val="487160E6"/>
    <w:rsid w:val="4B62718A"/>
    <w:rsid w:val="4C8A2B9C"/>
    <w:rsid w:val="4FB370F8"/>
    <w:rsid w:val="54E5163D"/>
    <w:rsid w:val="55EF1E5C"/>
    <w:rsid w:val="5724226F"/>
    <w:rsid w:val="579B0001"/>
    <w:rsid w:val="5AEC2D8E"/>
    <w:rsid w:val="5D7E6D6F"/>
    <w:rsid w:val="5E9527FD"/>
    <w:rsid w:val="5ECD0191"/>
    <w:rsid w:val="5FCB01DB"/>
    <w:rsid w:val="61082928"/>
    <w:rsid w:val="642710EB"/>
    <w:rsid w:val="670157F0"/>
    <w:rsid w:val="69C467DA"/>
    <w:rsid w:val="6A6969F1"/>
    <w:rsid w:val="6B68307D"/>
    <w:rsid w:val="6BB37D98"/>
    <w:rsid w:val="6CC26012"/>
    <w:rsid w:val="6D943CB3"/>
    <w:rsid w:val="6E2E5CA6"/>
    <w:rsid w:val="6E6A58E2"/>
    <w:rsid w:val="6FFD7A01"/>
    <w:rsid w:val="70D82553"/>
    <w:rsid w:val="71C84F50"/>
    <w:rsid w:val="727132C6"/>
    <w:rsid w:val="78165BCB"/>
    <w:rsid w:val="7B1775E7"/>
    <w:rsid w:val="7DEF3A5F"/>
    <w:rsid w:val="7E5C2885"/>
    <w:rsid w:val="7FF7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C46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46DD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rsid w:val="00C46D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46DD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C46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46DD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rsid w:val="00C46D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46DD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dengkl</dc:creator>
  <cp:lastModifiedBy>李懿</cp:lastModifiedBy>
  <cp:revision>5</cp:revision>
  <cp:lastPrinted>2024-07-19T01:43:00Z</cp:lastPrinted>
  <dcterms:created xsi:type="dcterms:W3CDTF">2024-07-19T02:03:00Z</dcterms:created>
  <dcterms:modified xsi:type="dcterms:W3CDTF">2024-07-19T04:35:00Z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6008C8937CDA44C1B4A40BF9C66940BA_12</vt:lpwstr>
  </property>
</Properties>
</file>