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B9" w:rsidRDefault="00E55C5B">
      <w:pPr>
        <w:jc w:val="center"/>
        <w:rPr>
          <w:rFonts w:asciiTheme="majorEastAsia" w:eastAsiaTheme="majorEastAsia" w:hAnsiTheme="majorEastAsia"/>
          <w:b/>
          <w:sz w:val="44"/>
          <w:szCs w:val="44"/>
        </w:rPr>
      </w:pPr>
      <w:bookmarkStart w:id="0" w:name="_GoBack"/>
      <w:proofErr w:type="gramStart"/>
      <w:r>
        <w:rPr>
          <w:rFonts w:asciiTheme="majorEastAsia" w:eastAsiaTheme="majorEastAsia" w:hAnsiTheme="majorEastAsia" w:hint="eastAsia"/>
          <w:b/>
          <w:sz w:val="44"/>
          <w:szCs w:val="44"/>
        </w:rPr>
        <w:t>城轨科学</w:t>
      </w:r>
      <w:proofErr w:type="gramEnd"/>
      <w:r>
        <w:rPr>
          <w:rFonts w:asciiTheme="majorEastAsia" w:eastAsiaTheme="majorEastAsia" w:hAnsiTheme="majorEastAsia" w:hint="eastAsia"/>
          <w:b/>
          <w:sz w:val="44"/>
          <w:szCs w:val="44"/>
        </w:rPr>
        <w:t>中心站还建项目</w:t>
      </w:r>
    </w:p>
    <w:p w:rsidR="002F58B9" w:rsidRDefault="00E55C5B">
      <w:pPr>
        <w:jc w:val="center"/>
        <w:rPr>
          <w:rFonts w:ascii="仿宋" w:eastAsia="仿宋" w:hAnsi="仿宋" w:cs="宋体"/>
          <w:sz w:val="44"/>
          <w:szCs w:val="44"/>
        </w:rPr>
      </w:pPr>
      <w:r>
        <w:rPr>
          <w:rFonts w:asciiTheme="majorEastAsia" w:eastAsiaTheme="majorEastAsia" w:hAnsiTheme="majorEastAsia" w:hint="eastAsia"/>
          <w:b/>
          <w:sz w:val="44"/>
          <w:szCs w:val="44"/>
        </w:rPr>
        <w:t>工程造价咨询服务采购需求</w:t>
      </w:r>
    </w:p>
    <w:bookmarkEnd w:id="0"/>
    <w:p w:rsidR="002F58B9" w:rsidRDefault="002F58B9">
      <w:pPr>
        <w:jc w:val="center"/>
        <w:rPr>
          <w:rFonts w:ascii="仿宋" w:eastAsia="仿宋" w:hAnsi="仿宋" w:cs="宋体"/>
          <w:sz w:val="28"/>
          <w:szCs w:val="28"/>
        </w:rPr>
      </w:pPr>
    </w:p>
    <w:p w:rsidR="002F58B9" w:rsidRDefault="00E55C5B">
      <w:pPr>
        <w:tabs>
          <w:tab w:val="left" w:pos="7513"/>
        </w:tabs>
        <w:spacing w:line="360" w:lineRule="auto"/>
        <w:rPr>
          <w:rFonts w:ascii="仿宋" w:eastAsia="仿宋" w:hAnsi="仿宋" w:cs="宋体"/>
          <w:sz w:val="28"/>
          <w:szCs w:val="28"/>
        </w:rPr>
      </w:pPr>
      <w:r>
        <w:rPr>
          <w:rFonts w:ascii="仿宋" w:eastAsia="仿宋" w:hAnsi="仿宋" w:cs="仿宋" w:hint="eastAsia"/>
          <w:b/>
          <w:bCs/>
          <w:sz w:val="28"/>
          <w:szCs w:val="28"/>
          <w:lang w:val="zh-TW" w:bidi="zh-TW"/>
        </w:rPr>
        <w:t>一、项目名称</w:t>
      </w:r>
      <w:r>
        <w:rPr>
          <w:rFonts w:ascii="仿宋" w:eastAsia="仿宋" w:hAnsi="仿宋" w:cs="宋体" w:hint="eastAsia"/>
          <w:sz w:val="28"/>
          <w:szCs w:val="28"/>
        </w:rPr>
        <w:t>：</w:t>
      </w:r>
      <w:r>
        <w:rPr>
          <w:rFonts w:ascii="仿宋" w:eastAsia="仿宋" w:hAnsi="仿宋" w:cs="宋体"/>
          <w:sz w:val="28"/>
          <w:szCs w:val="28"/>
        </w:rPr>
        <w:t xml:space="preserve"> </w:t>
      </w:r>
    </w:p>
    <w:p w:rsidR="002F58B9" w:rsidRDefault="00E55C5B">
      <w:pPr>
        <w:ind w:firstLineChars="200" w:firstLine="560"/>
        <w:rPr>
          <w:rFonts w:ascii="仿宋" w:eastAsia="仿宋" w:hAnsi="仿宋" w:cs="仿宋"/>
          <w:bCs/>
          <w:sz w:val="28"/>
          <w:szCs w:val="28"/>
        </w:rPr>
      </w:pPr>
      <w:proofErr w:type="gramStart"/>
      <w:r>
        <w:rPr>
          <w:rFonts w:ascii="仿宋" w:eastAsia="仿宋" w:hAnsi="仿宋" w:cs="仿宋" w:hint="eastAsia"/>
          <w:bCs/>
          <w:sz w:val="28"/>
          <w:szCs w:val="28"/>
        </w:rPr>
        <w:t>城轨科学</w:t>
      </w:r>
      <w:proofErr w:type="gramEnd"/>
      <w:r>
        <w:rPr>
          <w:rFonts w:ascii="仿宋" w:eastAsia="仿宋" w:hAnsi="仿宋" w:cs="仿宋" w:hint="eastAsia"/>
          <w:bCs/>
          <w:sz w:val="28"/>
          <w:szCs w:val="28"/>
        </w:rPr>
        <w:t>中心站还建项目工程造价咨询服务</w:t>
      </w:r>
    </w:p>
    <w:p w:rsidR="002F58B9" w:rsidRDefault="00E55C5B">
      <w:pPr>
        <w:pStyle w:val="Bodytext1"/>
        <w:tabs>
          <w:tab w:val="left" w:pos="531"/>
        </w:tabs>
        <w:spacing w:line="483" w:lineRule="exact"/>
        <w:ind w:firstLineChars="0" w:firstLine="0"/>
        <w:rPr>
          <w:rFonts w:ascii="仿宋" w:eastAsia="仿宋" w:hAnsi="仿宋" w:cs="仿宋"/>
          <w:b/>
          <w:bCs/>
          <w:sz w:val="28"/>
          <w:szCs w:val="28"/>
          <w:lang w:eastAsia="zh-CN"/>
        </w:rPr>
      </w:pPr>
      <w:r>
        <w:rPr>
          <w:rFonts w:ascii="仿宋" w:eastAsia="仿宋" w:hAnsi="仿宋" w:cs="仿宋" w:hint="eastAsia"/>
          <w:b/>
          <w:bCs/>
          <w:sz w:val="28"/>
          <w:szCs w:val="28"/>
          <w:lang w:eastAsia="zh-CN"/>
        </w:rPr>
        <w:t>二、项目概况</w:t>
      </w:r>
    </w:p>
    <w:p w:rsidR="002F58B9" w:rsidRDefault="00E55C5B">
      <w:pPr>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、工程建设规模：本项目主要针对广佛环线</w:t>
      </w:r>
      <w:r>
        <w:rPr>
          <w:rFonts w:ascii="仿宋" w:eastAsia="仿宋" w:hAnsi="仿宋" w:cs="仿宋" w:hint="eastAsia"/>
          <w:bCs/>
          <w:sz w:val="28"/>
          <w:szCs w:val="28"/>
        </w:rPr>
        <w:t>(</w:t>
      </w:r>
      <w:r>
        <w:rPr>
          <w:rFonts w:ascii="仿宋" w:eastAsia="仿宋" w:hAnsi="仿宋" w:cs="仿宋" w:hint="eastAsia"/>
          <w:bCs/>
          <w:sz w:val="28"/>
          <w:szCs w:val="28"/>
        </w:rPr>
        <w:t>广州南站至白云机场</w:t>
      </w:r>
      <w:r>
        <w:rPr>
          <w:rFonts w:ascii="仿宋" w:eastAsia="仿宋" w:hAnsi="仿宋" w:cs="仿宋" w:hint="eastAsia"/>
          <w:bCs/>
          <w:sz w:val="28"/>
          <w:szCs w:val="28"/>
        </w:rPr>
        <w:t>)</w:t>
      </w:r>
      <w:r>
        <w:rPr>
          <w:rFonts w:ascii="仿宋" w:eastAsia="仿宋" w:hAnsi="仿宋" w:cs="仿宋" w:hint="eastAsia"/>
          <w:bCs/>
          <w:sz w:val="28"/>
          <w:szCs w:val="28"/>
        </w:rPr>
        <w:t>科学中心站进行场地恢复，范围主要为正门广场和南北广场等区域，项目总面积约</w:t>
      </w:r>
      <w:r>
        <w:rPr>
          <w:rFonts w:ascii="仿宋" w:eastAsia="仿宋" w:hAnsi="仿宋" w:cs="仿宋" w:hint="eastAsia"/>
          <w:bCs/>
          <w:sz w:val="28"/>
          <w:szCs w:val="28"/>
        </w:rPr>
        <w:t>11</w:t>
      </w:r>
      <w:r>
        <w:rPr>
          <w:rFonts w:ascii="仿宋" w:eastAsia="仿宋" w:hAnsi="仿宋" w:cs="仿宋" w:hint="eastAsia"/>
          <w:bCs/>
          <w:sz w:val="28"/>
          <w:szCs w:val="28"/>
        </w:rPr>
        <w:t>万平方米（具体以施工图纸为准），包括园建工程、建筑结构工程、绿化工程、给排水工程和室外电气安装工程等。</w:t>
      </w:r>
    </w:p>
    <w:p w:rsidR="002F58B9" w:rsidRDefault="00E55C5B">
      <w:pPr>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、建筑安装工程费用约</w:t>
      </w:r>
      <w:r>
        <w:rPr>
          <w:rFonts w:ascii="仿宋" w:eastAsia="仿宋" w:hAnsi="仿宋" w:cs="仿宋" w:hint="eastAsia"/>
          <w:bCs/>
          <w:sz w:val="28"/>
          <w:szCs w:val="28"/>
        </w:rPr>
        <w:t>5100</w:t>
      </w:r>
      <w:r>
        <w:rPr>
          <w:rFonts w:ascii="仿宋" w:eastAsia="仿宋" w:hAnsi="仿宋" w:cs="仿宋" w:hint="eastAsia"/>
          <w:bCs/>
          <w:sz w:val="28"/>
          <w:szCs w:val="28"/>
        </w:rPr>
        <w:t>万元。</w:t>
      </w:r>
    </w:p>
    <w:p w:rsidR="002F58B9" w:rsidRDefault="00E55C5B">
      <w:pPr>
        <w:pStyle w:val="Bodytext1"/>
        <w:tabs>
          <w:tab w:val="left" w:pos="531"/>
        </w:tabs>
        <w:spacing w:line="483" w:lineRule="exact"/>
        <w:ind w:firstLineChars="0" w:firstLine="0"/>
        <w:rPr>
          <w:rFonts w:ascii="仿宋" w:eastAsia="仿宋" w:hAnsi="仿宋" w:cs="仿宋"/>
          <w:b/>
          <w:bCs/>
          <w:sz w:val="28"/>
          <w:szCs w:val="28"/>
          <w:lang w:eastAsia="zh-CN"/>
        </w:rPr>
      </w:pPr>
      <w:r>
        <w:rPr>
          <w:rFonts w:ascii="仿宋" w:eastAsia="仿宋" w:hAnsi="仿宋" w:cs="仿宋" w:hint="eastAsia"/>
          <w:b/>
          <w:bCs/>
          <w:sz w:val="28"/>
          <w:szCs w:val="28"/>
          <w:lang w:eastAsia="zh-CN"/>
        </w:rPr>
        <w:t>三、服务范围及服务费</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w:t>
      </w:r>
      <w:r>
        <w:rPr>
          <w:rFonts w:ascii="仿宋" w:eastAsia="仿宋" w:hAnsi="仿宋" w:cs="仿宋" w:hint="eastAsia"/>
          <w:bCs/>
          <w:sz w:val="28"/>
          <w:szCs w:val="28"/>
        </w:rPr>
        <w:t>根据国家及广东省、广州市的相关法律、法规、工程定额及文件的规定，结合市场价格，对</w:t>
      </w:r>
      <w:proofErr w:type="gramStart"/>
      <w:r>
        <w:rPr>
          <w:rFonts w:ascii="仿宋" w:eastAsia="仿宋" w:hAnsi="仿宋" w:cs="仿宋" w:hint="eastAsia"/>
          <w:bCs/>
          <w:sz w:val="28"/>
          <w:szCs w:val="28"/>
        </w:rPr>
        <w:t>城轨科学</w:t>
      </w:r>
      <w:proofErr w:type="gramEnd"/>
      <w:r>
        <w:rPr>
          <w:rFonts w:ascii="仿宋" w:eastAsia="仿宋" w:hAnsi="仿宋" w:cs="仿宋" w:hint="eastAsia"/>
          <w:bCs/>
          <w:sz w:val="28"/>
          <w:szCs w:val="28"/>
        </w:rPr>
        <w:t>中心站还建项目提供施工阶段全过程造价咨询服务，包括但不限于以下内容：包括本项目的施工图预算评审阶段、施工过程阶段、结算阶段等造价咨询全过程投资控制工作</w:t>
      </w:r>
      <w:r>
        <w:rPr>
          <w:rFonts w:ascii="仿宋" w:eastAsia="仿宋" w:hAnsi="仿宋" w:cs="宋体" w:hint="eastAsia"/>
          <w:sz w:val="28"/>
          <w:szCs w:val="28"/>
        </w:rPr>
        <w:t>。</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、本项目服务报价为总价包干，包含供应商为完成本项服务所发生的一切费用。由于本项目根据场地移交时间先后逐步实施，因此服务周期需根据项目进展进行调整，委托人</w:t>
      </w:r>
      <w:proofErr w:type="gramStart"/>
      <w:r>
        <w:rPr>
          <w:rFonts w:ascii="仿宋" w:eastAsia="仿宋" w:hAnsi="仿宋" w:cs="宋体" w:hint="eastAsia"/>
          <w:sz w:val="28"/>
          <w:szCs w:val="28"/>
        </w:rPr>
        <w:t>不</w:t>
      </w:r>
      <w:proofErr w:type="gramEnd"/>
      <w:r>
        <w:rPr>
          <w:rFonts w:ascii="仿宋" w:eastAsia="仿宋" w:hAnsi="仿宋" w:cs="宋体" w:hint="eastAsia"/>
          <w:sz w:val="28"/>
          <w:szCs w:val="28"/>
        </w:rPr>
        <w:t>因此增加任何费用。</w:t>
      </w:r>
    </w:p>
    <w:p w:rsidR="002F58B9" w:rsidRDefault="00E55C5B">
      <w:pPr>
        <w:pStyle w:val="Bodytext1"/>
        <w:tabs>
          <w:tab w:val="left" w:pos="531"/>
        </w:tabs>
        <w:spacing w:line="483" w:lineRule="exact"/>
        <w:ind w:firstLineChars="0" w:firstLine="0"/>
        <w:rPr>
          <w:rFonts w:ascii="仿宋" w:eastAsia="仿宋" w:hAnsi="仿宋" w:cs="仿宋"/>
          <w:b/>
          <w:bCs/>
          <w:sz w:val="28"/>
          <w:szCs w:val="28"/>
          <w:lang w:eastAsia="zh-CN"/>
        </w:rPr>
      </w:pPr>
      <w:r>
        <w:rPr>
          <w:rFonts w:ascii="仿宋" w:eastAsia="仿宋" w:hAnsi="仿宋" w:cs="仿宋" w:hint="eastAsia"/>
          <w:b/>
          <w:bCs/>
          <w:sz w:val="28"/>
          <w:szCs w:val="28"/>
          <w:lang w:eastAsia="zh-CN"/>
        </w:rPr>
        <w:t>四、服务工期及工作要求</w:t>
      </w:r>
    </w:p>
    <w:p w:rsidR="002F58B9" w:rsidRDefault="00E55C5B">
      <w:pPr>
        <w:adjustRightInd w:val="0"/>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、本项目服务工期：自合同签订后至竣工结算审核完成止，预计服务工期</w:t>
      </w:r>
      <w:r>
        <w:rPr>
          <w:rFonts w:ascii="仿宋" w:eastAsia="仿宋" w:hAnsi="仿宋" w:cs="宋体" w:hint="eastAsia"/>
          <w:sz w:val="28"/>
          <w:szCs w:val="28"/>
        </w:rPr>
        <w:t>36</w:t>
      </w:r>
      <w:r>
        <w:rPr>
          <w:rFonts w:ascii="仿宋" w:eastAsia="仿宋" w:hAnsi="仿宋" w:cs="宋体" w:hint="eastAsia"/>
          <w:sz w:val="28"/>
          <w:szCs w:val="28"/>
        </w:rPr>
        <w:t>5</w:t>
      </w:r>
      <w:r>
        <w:rPr>
          <w:rFonts w:ascii="仿宋" w:eastAsia="仿宋" w:hAnsi="仿宋" w:cs="宋体" w:hint="eastAsia"/>
          <w:sz w:val="28"/>
          <w:szCs w:val="28"/>
        </w:rPr>
        <w:t>日历天。</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、供应商应熟悉项目造价咨询全过程管理规程，有类似项目服务经验。</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lastRenderedPageBreak/>
        <w:t>3</w:t>
      </w:r>
      <w:r>
        <w:rPr>
          <w:rFonts w:ascii="仿宋" w:eastAsia="仿宋" w:hAnsi="仿宋" w:cs="宋体" w:hint="eastAsia"/>
          <w:sz w:val="28"/>
          <w:szCs w:val="28"/>
        </w:rPr>
        <w:t>、供应商</w:t>
      </w:r>
      <w:proofErr w:type="gramStart"/>
      <w:r>
        <w:rPr>
          <w:rFonts w:ascii="仿宋" w:eastAsia="仿宋" w:hAnsi="仿宋" w:cs="宋体" w:hint="eastAsia"/>
          <w:sz w:val="28"/>
          <w:szCs w:val="28"/>
        </w:rPr>
        <w:t>应现场</w:t>
      </w:r>
      <w:proofErr w:type="gramEnd"/>
      <w:r>
        <w:rPr>
          <w:rFonts w:ascii="仿宋" w:eastAsia="仿宋" w:hAnsi="仿宋" w:cs="宋体" w:hint="eastAsia"/>
          <w:sz w:val="28"/>
          <w:szCs w:val="28"/>
        </w:rPr>
        <w:t>勘察，实际了解项目情况，拟派本项目的造价咨询项目负责人、专业造价人员及相关工作人员不少于</w:t>
      </w:r>
      <w:r>
        <w:rPr>
          <w:rFonts w:ascii="仿宋" w:eastAsia="仿宋" w:hAnsi="仿宋" w:cs="宋体" w:hint="eastAsia"/>
          <w:sz w:val="28"/>
          <w:szCs w:val="28"/>
        </w:rPr>
        <w:t>10</w:t>
      </w:r>
      <w:r>
        <w:rPr>
          <w:rFonts w:ascii="仿宋" w:eastAsia="仿宋" w:hAnsi="仿宋" w:cs="宋体" w:hint="eastAsia"/>
          <w:sz w:val="28"/>
          <w:szCs w:val="28"/>
        </w:rPr>
        <w:t>人，其中项目负责人具有工程类高级或以上职称且具有国家一级注册造价工程师资格；专业造价人员配置两名一级注册造价工程师（建筑工程和安装工程专业各一名），</w:t>
      </w:r>
      <w:r>
        <w:rPr>
          <w:rFonts w:ascii="仿宋" w:eastAsia="仿宋" w:hAnsi="仿宋" w:cs="宋体" w:hint="eastAsia"/>
          <w:sz w:val="28"/>
          <w:szCs w:val="28"/>
        </w:rPr>
        <w:t>4</w:t>
      </w:r>
      <w:r>
        <w:rPr>
          <w:rFonts w:ascii="仿宋" w:eastAsia="仿宋" w:hAnsi="仿宋" w:cs="宋体" w:hint="eastAsia"/>
          <w:sz w:val="28"/>
          <w:szCs w:val="28"/>
        </w:rPr>
        <w:t>名二级注册造价工程师（建筑工程和安装工程专业各两名），其他工作人员若干名。</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、本项目施工过程阶段需安排</w:t>
      </w:r>
      <w:r>
        <w:rPr>
          <w:rFonts w:ascii="仿宋" w:eastAsia="仿宋" w:hAnsi="仿宋" w:cs="宋体" w:hint="eastAsia"/>
          <w:sz w:val="28"/>
          <w:szCs w:val="28"/>
        </w:rPr>
        <w:t>注册造价工程师</w:t>
      </w:r>
      <w:r>
        <w:rPr>
          <w:rFonts w:ascii="仿宋" w:eastAsia="仿宋" w:hAnsi="仿宋" w:cs="宋体" w:hint="eastAsia"/>
          <w:sz w:val="28"/>
          <w:szCs w:val="28"/>
        </w:rPr>
        <w:t>每周不少于一天</w:t>
      </w:r>
      <w:proofErr w:type="gramStart"/>
      <w:r>
        <w:rPr>
          <w:rFonts w:ascii="仿宋" w:eastAsia="仿宋" w:hAnsi="仿宋" w:cs="宋体" w:hint="eastAsia"/>
          <w:sz w:val="28"/>
          <w:szCs w:val="28"/>
        </w:rPr>
        <w:t>驻项目</w:t>
      </w:r>
      <w:proofErr w:type="gramEnd"/>
      <w:r>
        <w:rPr>
          <w:rFonts w:ascii="仿宋" w:eastAsia="仿宋" w:hAnsi="仿宋" w:cs="宋体" w:hint="eastAsia"/>
          <w:sz w:val="28"/>
          <w:szCs w:val="28"/>
        </w:rPr>
        <w:t>现场办公，为采购人提供专业指导意见及实施办法，组织相关专业造价人员完成咨询工作。</w:t>
      </w:r>
    </w:p>
    <w:p w:rsidR="002F58B9" w:rsidRDefault="00E55C5B">
      <w:pPr>
        <w:pStyle w:val="Bodytext1"/>
        <w:tabs>
          <w:tab w:val="left" w:pos="531"/>
        </w:tabs>
        <w:spacing w:line="483" w:lineRule="exact"/>
        <w:ind w:firstLineChars="0" w:firstLine="0"/>
        <w:rPr>
          <w:rFonts w:ascii="仿宋" w:eastAsia="仿宋" w:hAnsi="仿宋" w:cs="仿宋"/>
          <w:b/>
          <w:bCs/>
          <w:sz w:val="28"/>
          <w:szCs w:val="28"/>
        </w:rPr>
      </w:pPr>
      <w:r>
        <w:rPr>
          <w:rFonts w:ascii="仿宋" w:eastAsia="仿宋" w:hAnsi="仿宋" w:cs="仿宋" w:hint="eastAsia"/>
          <w:b/>
          <w:bCs/>
          <w:sz w:val="28"/>
          <w:szCs w:val="28"/>
          <w:lang w:eastAsia="zh-CN"/>
        </w:rPr>
        <w:t>五、供应商资质要求</w:t>
      </w:r>
    </w:p>
    <w:p w:rsidR="002F58B9" w:rsidRDefault="00E55C5B">
      <w:pPr>
        <w:adjustRightInd w:val="0"/>
        <w:ind w:firstLineChars="200" w:firstLine="560"/>
        <w:rPr>
          <w:rFonts w:ascii="仿宋" w:eastAsia="仿宋" w:hAnsi="仿宋"/>
          <w:color w:val="000000"/>
          <w:sz w:val="28"/>
          <w:szCs w:val="28"/>
        </w:rPr>
      </w:pPr>
      <w:bookmarkStart w:id="1" w:name="bookmark22"/>
      <w:bookmarkEnd w:id="1"/>
      <w:r>
        <w:rPr>
          <w:rFonts w:ascii="仿宋" w:eastAsia="仿宋" w:hAnsi="仿宋" w:hint="eastAsia"/>
          <w:color w:val="000000"/>
          <w:sz w:val="28"/>
          <w:szCs w:val="28"/>
        </w:rPr>
        <w:t>1</w:t>
      </w:r>
      <w:r>
        <w:rPr>
          <w:rFonts w:ascii="仿宋" w:eastAsia="仿宋" w:hAnsi="仿宋" w:hint="eastAsia"/>
          <w:color w:val="000000"/>
          <w:sz w:val="28"/>
          <w:szCs w:val="28"/>
        </w:rPr>
        <w:t>、供应商应具备《中华人民共和国政府采购法》第二十二条规定的条件，提供下列材料：</w:t>
      </w:r>
    </w:p>
    <w:p w:rsidR="002F58B9" w:rsidRDefault="00E55C5B">
      <w:pPr>
        <w:adjustRightInd w:val="0"/>
        <w:ind w:firstLineChars="200"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）具有独立承担民事责任的能力：在中华人民共和国境内注册的法人或其他组织或自然人，</w:t>
      </w:r>
      <w:r>
        <w:rPr>
          <w:rFonts w:ascii="仿宋" w:eastAsia="仿宋" w:hAnsi="仿宋" w:hint="eastAsia"/>
          <w:color w:val="000000"/>
          <w:sz w:val="28"/>
          <w:szCs w:val="28"/>
        </w:rPr>
        <w:t xml:space="preserve"> </w:t>
      </w:r>
      <w:r>
        <w:rPr>
          <w:rFonts w:ascii="仿宋" w:eastAsia="仿宋" w:hAnsi="仿宋" w:hint="eastAsia"/>
          <w:color w:val="000000"/>
          <w:sz w:val="28"/>
          <w:szCs w:val="28"/>
        </w:rPr>
        <w:t>提交有效的营业执照（或事业法人登记证或身份证等相关证明）</w:t>
      </w:r>
      <w:r>
        <w:rPr>
          <w:rFonts w:ascii="仿宋" w:eastAsia="仿宋" w:hAnsi="仿宋" w:hint="eastAsia"/>
          <w:color w:val="000000"/>
          <w:sz w:val="28"/>
          <w:szCs w:val="28"/>
        </w:rPr>
        <w:t xml:space="preserve"> </w:t>
      </w:r>
      <w:r>
        <w:rPr>
          <w:rFonts w:ascii="仿宋" w:eastAsia="仿宋" w:hAnsi="仿宋" w:hint="eastAsia"/>
          <w:color w:val="000000"/>
          <w:sz w:val="28"/>
          <w:szCs w:val="28"/>
        </w:rPr>
        <w:t>副本复印件。分支机构投标的，须提供总公司和分公司营业执照副本复印件，总公司出具给分支机构的授权书。</w:t>
      </w:r>
    </w:p>
    <w:p w:rsidR="002F58B9" w:rsidRDefault="00E55C5B">
      <w:pPr>
        <w:adjustRightInd w:val="0"/>
        <w:ind w:firstLineChars="200"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）有依法缴纳税收和社会保障资金的良好记录：提供书面声明函。</w:t>
      </w:r>
    </w:p>
    <w:p w:rsidR="002F58B9" w:rsidRDefault="00E55C5B">
      <w:pPr>
        <w:adjustRightInd w:val="0"/>
        <w:ind w:firstLineChars="200"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hint="eastAsia"/>
          <w:color w:val="000000"/>
          <w:sz w:val="28"/>
          <w:szCs w:val="28"/>
        </w:rPr>
        <w:t>）</w:t>
      </w:r>
      <w:r>
        <w:rPr>
          <w:rFonts w:ascii="仿宋" w:eastAsia="仿宋" w:hAnsi="仿宋" w:hint="eastAsia"/>
          <w:color w:val="000000"/>
          <w:sz w:val="28"/>
          <w:szCs w:val="28"/>
        </w:rPr>
        <w:t>具有良好的商业信誉和健全的财务会计制度：提供书面声明函。</w:t>
      </w:r>
    </w:p>
    <w:p w:rsidR="002F58B9" w:rsidRDefault="00E55C5B">
      <w:pPr>
        <w:adjustRightInd w:val="0"/>
        <w:ind w:firstLineChars="200"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hint="eastAsia"/>
          <w:color w:val="000000"/>
          <w:sz w:val="28"/>
          <w:szCs w:val="28"/>
        </w:rPr>
        <w:t>）履行合同所必需的设备和专业技术能力：提供书面声明函。</w:t>
      </w:r>
    </w:p>
    <w:p w:rsidR="002F58B9" w:rsidRDefault="00E55C5B">
      <w:pPr>
        <w:adjustRightInd w:val="0"/>
        <w:ind w:firstLineChars="200" w:firstLine="560"/>
        <w:rPr>
          <w:rFonts w:ascii="仿宋" w:eastAsia="仿宋" w:hAnsi="仿宋"/>
          <w:color w:val="000000"/>
          <w:sz w:val="28"/>
          <w:szCs w:val="28"/>
        </w:rPr>
      </w:pPr>
      <w:r>
        <w:rPr>
          <w:rFonts w:ascii="仿宋" w:eastAsia="仿宋" w:hAnsi="仿宋" w:hint="eastAsia"/>
          <w:color w:val="000000"/>
          <w:sz w:val="28"/>
          <w:szCs w:val="28"/>
        </w:rPr>
        <w:t>5</w:t>
      </w:r>
      <w:r>
        <w:rPr>
          <w:rFonts w:ascii="仿宋" w:eastAsia="仿宋" w:hAnsi="仿宋" w:hint="eastAsia"/>
          <w:color w:val="000000"/>
          <w:sz w:val="28"/>
          <w:szCs w:val="28"/>
        </w:rPr>
        <w:t>）参加采购活动前</w:t>
      </w:r>
      <w:r>
        <w:rPr>
          <w:rFonts w:ascii="仿宋" w:eastAsia="仿宋" w:hAnsi="仿宋" w:hint="eastAsia"/>
          <w:color w:val="000000"/>
          <w:sz w:val="28"/>
          <w:szCs w:val="28"/>
        </w:rPr>
        <w:t>3</w:t>
      </w:r>
      <w:r>
        <w:rPr>
          <w:rFonts w:ascii="仿宋" w:eastAsia="仿宋" w:hAnsi="仿宋" w:hint="eastAsia"/>
          <w:color w:val="000000"/>
          <w:sz w:val="28"/>
          <w:szCs w:val="28"/>
        </w:rPr>
        <w:t>年内，在经营活动中没有重大违法记录：提供书面声明函。重大违法记录，是指供应商因违法经营受到刑事处罚或者责令停产停业、吊销许可证或者执照、较大数额罚款等行政处罚。（较大数额罚款按照发出行政处罚决定</w:t>
      </w:r>
      <w:proofErr w:type="gramStart"/>
      <w:r>
        <w:rPr>
          <w:rFonts w:ascii="仿宋" w:eastAsia="仿宋" w:hAnsi="仿宋" w:hint="eastAsia"/>
          <w:color w:val="000000"/>
          <w:sz w:val="28"/>
          <w:szCs w:val="28"/>
        </w:rPr>
        <w:t>书部门</w:t>
      </w:r>
      <w:proofErr w:type="gramEnd"/>
      <w:r>
        <w:rPr>
          <w:rFonts w:ascii="仿宋" w:eastAsia="仿宋" w:hAnsi="仿宋" w:hint="eastAsia"/>
          <w:color w:val="000000"/>
          <w:sz w:val="28"/>
          <w:szCs w:val="28"/>
        </w:rPr>
        <w:t>所在省级政府，或实行垂直领导的国务院有关行政</w:t>
      </w:r>
      <w:r>
        <w:rPr>
          <w:rFonts w:ascii="仿宋" w:eastAsia="仿宋" w:hAnsi="仿宋" w:hint="eastAsia"/>
          <w:color w:val="000000"/>
          <w:sz w:val="28"/>
          <w:szCs w:val="28"/>
        </w:rPr>
        <w:lastRenderedPageBreak/>
        <w:t>主管部门制定的较大数额罚款标准，或罚款决定之前需要举行听证会的金额标准来认定）；</w:t>
      </w:r>
    </w:p>
    <w:p w:rsidR="002F58B9" w:rsidRDefault="00E55C5B">
      <w:pPr>
        <w:ind w:firstLineChars="200" w:firstLine="560"/>
        <w:rPr>
          <w:rFonts w:ascii="仿宋" w:eastAsia="仿宋" w:hAnsi="仿宋" w:cs="宋体"/>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w:t>
      </w:r>
      <w:r>
        <w:rPr>
          <w:rFonts w:ascii="仿宋" w:eastAsia="仿宋" w:hAnsi="仿宋" w:cs="宋体" w:hint="eastAsia"/>
          <w:sz w:val="28"/>
          <w:szCs w:val="28"/>
        </w:rPr>
        <w:t>供应商</w:t>
      </w:r>
      <w:r>
        <w:rPr>
          <w:rFonts w:ascii="仿宋" w:eastAsia="仿宋" w:hAnsi="仿宋" w:cs="宋体" w:hint="eastAsia"/>
          <w:sz w:val="28"/>
          <w:szCs w:val="28"/>
        </w:rPr>
        <w:t>2020</w:t>
      </w:r>
      <w:r>
        <w:rPr>
          <w:rFonts w:ascii="仿宋" w:eastAsia="仿宋" w:hAnsi="仿宋" w:cs="宋体" w:hint="eastAsia"/>
          <w:sz w:val="28"/>
          <w:szCs w:val="28"/>
        </w:rPr>
        <w:t>年</w:t>
      </w:r>
      <w:r>
        <w:rPr>
          <w:rFonts w:ascii="仿宋" w:eastAsia="仿宋" w:hAnsi="仿宋" w:cs="宋体" w:hint="eastAsia"/>
          <w:sz w:val="28"/>
          <w:szCs w:val="28"/>
        </w:rPr>
        <w:t>1</w:t>
      </w:r>
      <w:r>
        <w:rPr>
          <w:rFonts w:ascii="仿宋" w:eastAsia="仿宋" w:hAnsi="仿宋" w:cs="宋体" w:hint="eastAsia"/>
          <w:sz w:val="28"/>
          <w:szCs w:val="28"/>
        </w:rPr>
        <w:t>月</w:t>
      </w:r>
      <w:r>
        <w:rPr>
          <w:rFonts w:ascii="仿宋" w:eastAsia="仿宋" w:hAnsi="仿宋" w:cs="宋体" w:hint="eastAsia"/>
          <w:sz w:val="28"/>
          <w:szCs w:val="28"/>
        </w:rPr>
        <w:t>1</w:t>
      </w:r>
      <w:r>
        <w:rPr>
          <w:rFonts w:ascii="仿宋" w:eastAsia="仿宋" w:hAnsi="仿宋" w:cs="宋体" w:hint="eastAsia"/>
          <w:sz w:val="28"/>
          <w:szCs w:val="28"/>
        </w:rPr>
        <w:t>日至今承接过项目全过程咨</w:t>
      </w:r>
      <w:r>
        <w:rPr>
          <w:rFonts w:ascii="仿宋" w:eastAsia="仿宋" w:hAnsi="仿宋" w:cs="宋体" w:hint="eastAsia"/>
          <w:sz w:val="28"/>
          <w:szCs w:val="28"/>
        </w:rPr>
        <w:t>询服务服务项目业绩。</w:t>
      </w:r>
    </w:p>
    <w:p w:rsidR="002F58B9" w:rsidRDefault="00E55C5B">
      <w:pPr>
        <w:pStyle w:val="8"/>
        <w:ind w:leftChars="0" w:left="0" w:firstLineChars="0"/>
        <w:rPr>
          <w:rFonts w:ascii="仿宋" w:eastAsia="仿宋" w:hAnsi="仿宋" w:cs="宋体"/>
          <w:b/>
          <w:sz w:val="28"/>
          <w:szCs w:val="28"/>
        </w:rPr>
      </w:pPr>
      <w:bookmarkStart w:id="2" w:name="_Toc262637522"/>
      <w:r>
        <w:rPr>
          <w:rFonts w:ascii="仿宋" w:eastAsia="仿宋" w:hAnsi="仿宋" w:cs="宋体" w:hint="eastAsia"/>
          <w:b/>
          <w:sz w:val="28"/>
          <w:szCs w:val="28"/>
        </w:rPr>
        <w:t>六、</w:t>
      </w:r>
      <w:bookmarkEnd w:id="2"/>
      <w:r>
        <w:rPr>
          <w:rFonts w:ascii="仿宋" w:eastAsia="仿宋" w:hAnsi="仿宋" w:cs="宋体" w:hint="eastAsia"/>
          <w:b/>
          <w:sz w:val="28"/>
          <w:szCs w:val="28"/>
        </w:rPr>
        <w:t>各阶段主要工作内容</w:t>
      </w:r>
    </w:p>
    <w:tbl>
      <w:tblPr>
        <w:tblW w:w="8957"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80"/>
        <w:gridCol w:w="1233"/>
        <w:gridCol w:w="7144"/>
      </w:tblGrid>
      <w:tr w:rsidR="002F58B9">
        <w:trPr>
          <w:jc w:val="center"/>
        </w:trPr>
        <w:tc>
          <w:tcPr>
            <w:tcW w:w="58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序号</w:t>
            </w:r>
          </w:p>
        </w:tc>
        <w:tc>
          <w:tcPr>
            <w:tcW w:w="1233"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阶段</w:t>
            </w:r>
          </w:p>
        </w:tc>
        <w:tc>
          <w:tcPr>
            <w:tcW w:w="7144"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工作内容</w:t>
            </w:r>
          </w:p>
        </w:tc>
      </w:tr>
      <w:tr w:rsidR="002F58B9">
        <w:trPr>
          <w:jc w:val="center"/>
        </w:trPr>
        <w:tc>
          <w:tcPr>
            <w:tcW w:w="58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1</w:t>
            </w:r>
          </w:p>
        </w:tc>
        <w:tc>
          <w:tcPr>
            <w:tcW w:w="1233"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施工图预算评审阶段</w:t>
            </w:r>
          </w:p>
        </w:tc>
        <w:tc>
          <w:tcPr>
            <w:tcW w:w="7144" w:type="dxa"/>
            <w:tcBorders>
              <w:top w:val="single" w:sz="4" w:space="0" w:color="000000"/>
              <w:left w:val="single" w:sz="4" w:space="0" w:color="000000"/>
              <w:bottom w:val="single" w:sz="4" w:space="0" w:color="000000"/>
              <w:right w:val="single" w:sz="4" w:space="0" w:color="000000"/>
            </w:tcBorders>
            <w:shd w:val="solid" w:color="FFFFFF" w:fill="auto"/>
          </w:tcPr>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负责按采购人要求编制各类造价管理文件，进行市场调查、询价或预估价格</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提供工程造价政策、材料、设备价格信息等工程造价信息咨询服务</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审核工程量清单及预算价，提供主要材料设备参考品牌表</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采购人对提供设计方案进行造价分析，提供设计方案优化建议</w:t>
            </w:r>
          </w:p>
        </w:tc>
      </w:tr>
      <w:tr w:rsidR="002F58B9">
        <w:trPr>
          <w:jc w:val="center"/>
        </w:trPr>
        <w:tc>
          <w:tcPr>
            <w:tcW w:w="58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2</w:t>
            </w:r>
          </w:p>
        </w:tc>
        <w:tc>
          <w:tcPr>
            <w:tcW w:w="1233"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施工过程阶段</w:t>
            </w:r>
          </w:p>
        </w:tc>
        <w:tc>
          <w:tcPr>
            <w:tcW w:w="7144"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负责按采购人要求制定现场造价管理的流程与办法，包括工程变更程序、工程款支付程序等</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负责施工过程造价控制，审核工程量与进度款，审核工程款用款计划等</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协助与第三方的合同索赔处理，参与合同变更谈判，处理合同变更，向</w:t>
            </w:r>
            <w:proofErr w:type="gramStart"/>
            <w:r>
              <w:rPr>
                <w:rFonts w:ascii="仿宋" w:eastAsia="仿宋" w:hAnsi="仿宋" w:cs="仿宋" w:hint="eastAsia"/>
                <w:bCs/>
                <w:sz w:val="28"/>
                <w:szCs w:val="28"/>
              </w:rPr>
              <w:t>采购人采购人</w:t>
            </w:r>
            <w:proofErr w:type="gramEnd"/>
            <w:r>
              <w:rPr>
                <w:rFonts w:ascii="仿宋" w:eastAsia="仿宋" w:hAnsi="仿宋" w:cs="仿宋" w:hint="eastAsia"/>
                <w:bCs/>
                <w:sz w:val="28"/>
                <w:szCs w:val="28"/>
              </w:rPr>
              <w:t>提供专业咨询意见</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协助采购人召开造价控制会议，集中会审现场签证、工程变更的工程量和造价预算，审核变更价款等</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 xml:space="preserve">5. </w:t>
            </w:r>
            <w:r>
              <w:rPr>
                <w:rFonts w:ascii="仿宋" w:eastAsia="仿宋" w:hAnsi="仿宋" w:cs="仿宋" w:hint="eastAsia"/>
                <w:bCs/>
                <w:sz w:val="28"/>
                <w:szCs w:val="28"/>
              </w:rPr>
              <w:t>负责定期召开造价控制会议，集中会审现场签证、工程变更的工程量和造价预算，确认变更价款。</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lastRenderedPageBreak/>
              <w:t xml:space="preserve">6. </w:t>
            </w:r>
            <w:r>
              <w:rPr>
                <w:rFonts w:ascii="仿宋" w:eastAsia="仿宋" w:hAnsi="仿宋" w:cs="仿宋" w:hint="eastAsia"/>
                <w:bCs/>
                <w:sz w:val="28"/>
                <w:szCs w:val="28"/>
              </w:rPr>
              <w:t>发生现场签证时，须与采购人、工程监理、施工单位一起进行工程</w:t>
            </w:r>
            <w:proofErr w:type="gramStart"/>
            <w:r>
              <w:rPr>
                <w:rFonts w:ascii="仿宋" w:eastAsia="仿宋" w:hAnsi="仿宋" w:cs="仿宋" w:hint="eastAsia"/>
                <w:bCs/>
                <w:sz w:val="28"/>
                <w:szCs w:val="28"/>
              </w:rPr>
              <w:t>量现场</w:t>
            </w:r>
            <w:proofErr w:type="gramEnd"/>
            <w:r>
              <w:rPr>
                <w:rFonts w:ascii="仿宋" w:eastAsia="仿宋" w:hAnsi="仿宋" w:cs="仿宋" w:hint="eastAsia"/>
                <w:bCs/>
                <w:sz w:val="28"/>
                <w:szCs w:val="28"/>
              </w:rPr>
              <w:t>核查，各方签认后作为签证依据。</w:t>
            </w:r>
          </w:p>
          <w:p w:rsidR="002F58B9" w:rsidRDefault="002F58B9">
            <w:pPr>
              <w:pStyle w:val="a0"/>
            </w:pPr>
          </w:p>
        </w:tc>
      </w:tr>
      <w:tr w:rsidR="002F58B9">
        <w:trPr>
          <w:jc w:val="center"/>
        </w:trPr>
        <w:tc>
          <w:tcPr>
            <w:tcW w:w="58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lastRenderedPageBreak/>
              <w:t>3</w:t>
            </w:r>
          </w:p>
        </w:tc>
        <w:tc>
          <w:tcPr>
            <w:tcW w:w="1233"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jc w:val="center"/>
              <w:rPr>
                <w:rFonts w:ascii="仿宋" w:eastAsia="仿宋" w:hAnsi="仿宋" w:cs="仿宋"/>
                <w:bCs/>
                <w:sz w:val="28"/>
                <w:szCs w:val="28"/>
              </w:rPr>
            </w:pPr>
            <w:r>
              <w:rPr>
                <w:rFonts w:ascii="仿宋" w:eastAsia="仿宋" w:hAnsi="仿宋" w:cs="仿宋" w:hint="eastAsia"/>
                <w:bCs/>
                <w:sz w:val="28"/>
                <w:szCs w:val="28"/>
              </w:rPr>
              <w:t>结算阶段</w:t>
            </w:r>
          </w:p>
        </w:tc>
        <w:tc>
          <w:tcPr>
            <w:tcW w:w="7144"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按采购人要求编制结算管理文件，协助采购人组织推进竣工结算工作</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审核工程竣工结算，完成工程结算审核工作。</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负责收集和整理结算依据资料，收集有关工程费用方面的签证资料，核对单据并及时归档</w:t>
            </w:r>
          </w:p>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协助采购人处理与承包人的有关结算纠纷</w:t>
            </w:r>
          </w:p>
        </w:tc>
      </w:tr>
      <w:tr w:rsidR="002F58B9">
        <w:trPr>
          <w:jc w:val="center"/>
        </w:trPr>
        <w:tc>
          <w:tcPr>
            <w:tcW w:w="8957" w:type="dxa"/>
            <w:gridSpan w:val="3"/>
            <w:tcBorders>
              <w:top w:val="single" w:sz="4" w:space="0" w:color="000000"/>
              <w:left w:val="single" w:sz="4" w:space="0" w:color="000000"/>
              <w:bottom w:val="single" w:sz="4" w:space="0" w:color="000000"/>
              <w:right w:val="single" w:sz="4" w:space="0" w:color="000000"/>
            </w:tcBorders>
            <w:shd w:val="solid" w:color="FFFFFF" w:fill="auto"/>
            <w:vAlign w:val="center"/>
          </w:tcPr>
          <w:p w:rsidR="002F58B9" w:rsidRDefault="00E55C5B">
            <w:pPr>
              <w:snapToGrid w:val="0"/>
              <w:spacing w:line="360" w:lineRule="auto"/>
              <w:rPr>
                <w:rFonts w:ascii="仿宋" w:eastAsia="仿宋" w:hAnsi="仿宋" w:cs="仿宋"/>
                <w:bCs/>
                <w:sz w:val="28"/>
                <w:szCs w:val="28"/>
              </w:rPr>
            </w:pPr>
            <w:r>
              <w:rPr>
                <w:rFonts w:ascii="仿宋" w:eastAsia="仿宋" w:hAnsi="仿宋" w:cs="仿宋" w:hint="eastAsia"/>
                <w:bCs/>
                <w:sz w:val="28"/>
                <w:szCs w:val="28"/>
              </w:rPr>
              <w:t>备注：</w:t>
            </w:r>
          </w:p>
          <w:p w:rsidR="002F58B9" w:rsidRDefault="00E55C5B">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、为实现项目的投资控制目标，由造价咨询单位安排本项目所需专业造价人员组成项目组。</w:t>
            </w:r>
          </w:p>
          <w:p w:rsidR="002F58B9" w:rsidRDefault="00E55C5B">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、项目负责人、技术负责人可为一人，项目负责人需定期参加工程例会，参加采购人组织与造价有关的专题会议并提出专业意见，造价咨询单位总部按采购人的要求提供技术支持。</w:t>
            </w:r>
          </w:p>
          <w:p w:rsidR="002F58B9" w:rsidRDefault="00E55C5B">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、施工过程阶段造价咨询单位安排一名具有二级</w:t>
            </w:r>
            <w:r>
              <w:rPr>
                <w:rFonts w:ascii="仿宋" w:eastAsia="仿宋" w:hAnsi="仿宋" w:cs="仿宋" w:hint="eastAsia"/>
                <w:bCs/>
                <w:sz w:val="28"/>
                <w:szCs w:val="28"/>
              </w:rPr>
              <w:t>注册</w:t>
            </w:r>
            <w:r>
              <w:rPr>
                <w:rFonts w:ascii="仿宋" w:eastAsia="仿宋" w:hAnsi="仿宋" w:cs="仿宋" w:hint="eastAsia"/>
                <w:bCs/>
                <w:sz w:val="28"/>
                <w:szCs w:val="28"/>
              </w:rPr>
              <w:t>造价工程师资</w:t>
            </w:r>
            <w:proofErr w:type="gramStart"/>
            <w:r>
              <w:rPr>
                <w:rFonts w:ascii="仿宋" w:eastAsia="仿宋" w:hAnsi="仿宋" w:cs="仿宋" w:hint="eastAsia"/>
                <w:bCs/>
                <w:sz w:val="28"/>
                <w:szCs w:val="28"/>
              </w:rPr>
              <w:t>格</w:t>
            </w:r>
            <w:r>
              <w:rPr>
                <w:rFonts w:ascii="仿宋" w:eastAsia="仿宋" w:hAnsi="仿宋" w:cs="仿宋" w:hint="eastAsia"/>
                <w:bCs/>
                <w:sz w:val="28"/>
                <w:szCs w:val="28"/>
              </w:rPr>
              <w:t>以上</w:t>
            </w:r>
            <w:proofErr w:type="gramEnd"/>
            <w:r>
              <w:rPr>
                <w:rFonts w:ascii="仿宋" w:eastAsia="仿宋" w:hAnsi="仿宋" w:cs="仿宋" w:hint="eastAsia"/>
                <w:bCs/>
                <w:sz w:val="28"/>
                <w:szCs w:val="28"/>
              </w:rPr>
              <w:t>的人员</w:t>
            </w:r>
            <w:r>
              <w:rPr>
                <w:rFonts w:ascii="仿宋" w:eastAsia="仿宋" w:hAnsi="仿宋" w:cs="宋体" w:hint="eastAsia"/>
                <w:sz w:val="28"/>
                <w:szCs w:val="28"/>
              </w:rPr>
              <w:t>每周不少于一天</w:t>
            </w:r>
            <w:proofErr w:type="gramStart"/>
            <w:r>
              <w:rPr>
                <w:rFonts w:ascii="仿宋" w:eastAsia="仿宋" w:hAnsi="仿宋" w:cs="宋体" w:hint="eastAsia"/>
                <w:sz w:val="28"/>
                <w:szCs w:val="28"/>
              </w:rPr>
              <w:t>驻项目</w:t>
            </w:r>
            <w:proofErr w:type="gramEnd"/>
            <w:r>
              <w:rPr>
                <w:rFonts w:ascii="仿宋" w:eastAsia="仿宋" w:hAnsi="仿宋" w:cs="宋体" w:hint="eastAsia"/>
                <w:sz w:val="28"/>
                <w:szCs w:val="28"/>
              </w:rPr>
              <w:t>现场办公</w:t>
            </w:r>
            <w:r>
              <w:rPr>
                <w:rFonts w:ascii="仿宋" w:eastAsia="仿宋" w:hAnsi="仿宋" w:cs="仿宋" w:hint="eastAsia"/>
                <w:bCs/>
                <w:sz w:val="28"/>
                <w:szCs w:val="28"/>
              </w:rPr>
              <w:t>驻场，驻场人员应服从采购人管理和工作分配，具体以合同要求为准。采购人仅提供驻场人员办公场地，其他如办公设备、办公用品、就餐、住宿等由造价咨询单位自行解决，费用已包含在合同价款内。</w:t>
            </w:r>
          </w:p>
          <w:p w:rsidR="002F58B9" w:rsidRDefault="00E55C5B">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、造价咨询单位需在采购人要求的期限内完成各项工作内容，如未按要求完成的，采购人有权进行相应处罚，且采购人有权根据工作实际情况调整工作内容，成交供应商须无条件服从。</w:t>
            </w:r>
          </w:p>
        </w:tc>
      </w:tr>
    </w:tbl>
    <w:p w:rsidR="002F58B9" w:rsidRDefault="00E55C5B">
      <w:pPr>
        <w:pStyle w:val="Bodytext1"/>
        <w:tabs>
          <w:tab w:val="left" w:pos="531"/>
        </w:tabs>
        <w:spacing w:line="483" w:lineRule="exact"/>
        <w:ind w:firstLineChars="0" w:firstLine="0"/>
        <w:rPr>
          <w:rFonts w:ascii="仿宋" w:eastAsia="仿宋" w:hAnsi="仿宋" w:cs="仿宋"/>
          <w:b/>
          <w:bCs/>
          <w:sz w:val="28"/>
          <w:szCs w:val="28"/>
        </w:rPr>
      </w:pPr>
      <w:r>
        <w:rPr>
          <w:rFonts w:ascii="仿宋" w:eastAsia="仿宋" w:hAnsi="仿宋" w:cs="仿宋" w:hint="eastAsia"/>
          <w:b/>
          <w:bCs/>
          <w:sz w:val="28"/>
          <w:szCs w:val="28"/>
          <w:lang w:eastAsia="zh-CN"/>
        </w:rPr>
        <w:t>七、</w:t>
      </w:r>
      <w:r>
        <w:rPr>
          <w:rFonts w:ascii="仿宋" w:eastAsia="仿宋" w:hAnsi="仿宋" w:cs="仿宋" w:hint="eastAsia"/>
          <w:b/>
          <w:bCs/>
          <w:sz w:val="28"/>
          <w:szCs w:val="28"/>
        </w:rPr>
        <w:t>报价文件编制要求</w:t>
      </w:r>
    </w:p>
    <w:p w:rsidR="002F58B9" w:rsidRDefault="00E55C5B" w:rsidP="00E55C5B">
      <w:pPr>
        <w:adjustRightInd w:val="0"/>
        <w:ind w:firstLineChars="202" w:firstLine="566"/>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、所有复印件（企业营业执照、资质文件、项目负责人职称等）需加</w:t>
      </w:r>
      <w:r>
        <w:rPr>
          <w:rFonts w:ascii="仿宋" w:eastAsia="仿宋" w:hAnsi="仿宋" w:cs="宋体" w:hint="eastAsia"/>
          <w:sz w:val="28"/>
          <w:szCs w:val="28"/>
        </w:rPr>
        <w:lastRenderedPageBreak/>
        <w:t>盖公章；</w:t>
      </w:r>
    </w:p>
    <w:p w:rsidR="002F58B9" w:rsidRDefault="00E55C5B" w:rsidP="00E55C5B">
      <w:pPr>
        <w:adjustRightInd w:val="0"/>
        <w:ind w:firstLineChars="202" w:firstLine="566"/>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、单位业绩证明（需提供中标书或委托书、合同等证明复印件）；</w:t>
      </w:r>
    </w:p>
    <w:p w:rsidR="002F58B9" w:rsidRDefault="00E55C5B" w:rsidP="00E55C5B">
      <w:pPr>
        <w:adjustRightInd w:val="0"/>
        <w:ind w:firstLineChars="202" w:firstLine="566"/>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、供应</w:t>
      </w:r>
      <w:proofErr w:type="gramStart"/>
      <w:r>
        <w:rPr>
          <w:rFonts w:ascii="仿宋" w:eastAsia="仿宋" w:hAnsi="仿宋" w:cs="宋体" w:hint="eastAsia"/>
          <w:sz w:val="28"/>
          <w:szCs w:val="28"/>
        </w:rPr>
        <w:t>商服务</w:t>
      </w:r>
      <w:proofErr w:type="gramEnd"/>
      <w:r>
        <w:rPr>
          <w:rFonts w:ascii="仿宋" w:eastAsia="仿宋" w:hAnsi="仿宋" w:cs="宋体" w:hint="eastAsia"/>
          <w:sz w:val="28"/>
          <w:szCs w:val="28"/>
        </w:rPr>
        <w:t>报价表；</w:t>
      </w:r>
    </w:p>
    <w:p w:rsidR="002F58B9" w:rsidRDefault="00E55C5B">
      <w:pPr>
        <w:ind w:firstLineChars="200" w:firstLine="560"/>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、供应商认为有必要提交的其它资料或需要说明的其它问题。</w:t>
      </w:r>
    </w:p>
    <w:sectPr w:rsidR="002F58B9">
      <w:pgSz w:w="11906" w:h="16838"/>
      <w:pgMar w:top="1440" w:right="1286" w:bottom="133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海荣">
    <w15:presenceInfo w15:providerId="WPS Office" w15:userId="8662823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WZlMTJhYjAwZmRmOTlkODVhNDZkM2ZmMjZhZjcifQ=="/>
  </w:docVars>
  <w:rsids>
    <w:rsidRoot w:val="1CBB529D"/>
    <w:rsid w:val="00034093"/>
    <w:rsid w:val="000A4BE5"/>
    <w:rsid w:val="000C6340"/>
    <w:rsid w:val="00274F38"/>
    <w:rsid w:val="002F58B9"/>
    <w:rsid w:val="004A4CC9"/>
    <w:rsid w:val="005959DB"/>
    <w:rsid w:val="005B0047"/>
    <w:rsid w:val="00664D48"/>
    <w:rsid w:val="007E4593"/>
    <w:rsid w:val="007E58A5"/>
    <w:rsid w:val="007F4A4D"/>
    <w:rsid w:val="008D0C9D"/>
    <w:rsid w:val="00944137"/>
    <w:rsid w:val="00972B75"/>
    <w:rsid w:val="009854B5"/>
    <w:rsid w:val="00A17BE1"/>
    <w:rsid w:val="00AA7839"/>
    <w:rsid w:val="00AD1E56"/>
    <w:rsid w:val="00C744E1"/>
    <w:rsid w:val="00D5492C"/>
    <w:rsid w:val="00E55C5B"/>
    <w:rsid w:val="00E95AFA"/>
    <w:rsid w:val="00EC5040"/>
    <w:rsid w:val="00F376C7"/>
    <w:rsid w:val="18BD0516"/>
    <w:rsid w:val="1CBB529D"/>
    <w:rsid w:val="2B520958"/>
    <w:rsid w:val="301C2FA8"/>
    <w:rsid w:val="32DD01EE"/>
    <w:rsid w:val="36D46807"/>
    <w:rsid w:val="37B409D1"/>
    <w:rsid w:val="5ADE798F"/>
    <w:rsid w:val="617C24E4"/>
    <w:rsid w:val="632856C5"/>
    <w:rsid w:val="63766054"/>
    <w:rsid w:val="65B1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12" w:lineRule="auto"/>
      <w:ind w:firstLine="420"/>
    </w:pPr>
    <w:rPr>
      <w:rFonts w:ascii="Calibri" w:hAnsi="Calibri"/>
      <w:b w:val="0"/>
      <w:szCs w:val="24"/>
    </w:rPr>
  </w:style>
  <w:style w:type="paragraph" w:styleId="a4">
    <w:name w:val="Body Text"/>
    <w:basedOn w:val="a"/>
    <w:qFormat/>
    <w:pPr>
      <w:spacing w:after="120"/>
    </w:pPr>
    <w:rPr>
      <w:rFonts w:ascii="Times New Roman" w:hAnsi="Times New Roman"/>
      <w:b/>
      <w:kern w:val="0"/>
      <w:sz w:val="20"/>
      <w:szCs w:val="20"/>
    </w:rPr>
  </w:style>
  <w:style w:type="paragraph" w:styleId="8">
    <w:name w:val="index 8"/>
    <w:basedOn w:val="a"/>
    <w:next w:val="a"/>
    <w:qFormat/>
    <w:pPr>
      <w:spacing w:line="360" w:lineRule="auto"/>
      <w:ind w:leftChars="1400" w:left="1400" w:firstLineChars="200" w:firstLine="200"/>
    </w:pPr>
    <w:rPr>
      <w:rFonts w:ascii="Times New Roman" w:eastAsia="宋体" w:hAnsi="Times New Roman" w:cs="Times New Roman"/>
      <w:szCs w:val="22"/>
    </w:rPr>
  </w:style>
  <w:style w:type="paragraph" w:styleId="a5">
    <w:name w:val="Normal Indent"/>
    <w:basedOn w:val="a"/>
    <w:next w:val="8"/>
    <w:link w:val="Char"/>
    <w:qFormat/>
    <w:pPr>
      <w:widowControl/>
      <w:spacing w:line="360" w:lineRule="auto"/>
      <w:ind w:firstLine="420"/>
      <w:jc w:val="left"/>
    </w:pPr>
    <w:rPr>
      <w:rFonts w:ascii="宋体"/>
      <w:kern w:val="0"/>
      <w:szCs w:val="20"/>
    </w:rPr>
  </w:style>
  <w:style w:type="paragraph" w:styleId="a6">
    <w:name w:val="Balloon Text"/>
    <w:basedOn w:val="a"/>
    <w:link w:val="Char0"/>
    <w:qFormat/>
    <w:rPr>
      <w:sz w:val="18"/>
      <w:szCs w:val="18"/>
    </w:rPr>
  </w:style>
  <w:style w:type="paragraph" w:styleId="a7">
    <w:name w:val="List Paragraph"/>
    <w:basedOn w:val="a"/>
    <w:uiPriority w:val="99"/>
    <w:unhideWhenUsed/>
    <w:qFormat/>
    <w:pPr>
      <w:ind w:firstLineChars="200" w:firstLine="420"/>
    </w:pPr>
  </w:style>
  <w:style w:type="paragraph" w:customStyle="1" w:styleId="a8">
    <w:name w:val="表格表头"/>
    <w:basedOn w:val="a"/>
    <w:qFormat/>
    <w:rPr>
      <w:rFonts w:ascii="黑体" w:eastAsia="黑体" w:hAnsi="黑体" w:cs="Times New Roman"/>
      <w:b/>
      <w:snapToGrid w:val="0"/>
      <w:sz w:val="24"/>
    </w:rPr>
  </w:style>
  <w:style w:type="paragraph" w:customStyle="1" w:styleId="Bodytext1">
    <w:name w:val="Body text|1"/>
    <w:basedOn w:val="a"/>
    <w:qFormat/>
    <w:pPr>
      <w:spacing w:line="422" w:lineRule="auto"/>
      <w:ind w:firstLineChars="200" w:firstLine="400"/>
    </w:pPr>
    <w:rPr>
      <w:rFonts w:ascii="MingLiU" w:eastAsia="MingLiU" w:hAnsi="MingLiU" w:cs="MingLiU"/>
      <w:sz w:val="22"/>
      <w:szCs w:val="22"/>
      <w:lang w:val="zh-TW" w:eastAsia="zh-TW" w:bidi="zh-TW"/>
    </w:rPr>
  </w:style>
  <w:style w:type="character" w:customStyle="1" w:styleId="Char">
    <w:name w:val="正文缩进 Char"/>
    <w:link w:val="a5"/>
    <w:qFormat/>
    <w:rPr>
      <w:rFonts w:ascii="宋体"/>
      <w:sz w:val="21"/>
    </w:rPr>
  </w:style>
  <w:style w:type="character" w:customStyle="1" w:styleId="Char0">
    <w:name w:val="批注框文本 Char"/>
    <w:basedOn w:val="a1"/>
    <w:link w:val="a6"/>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12" w:lineRule="auto"/>
      <w:ind w:firstLine="420"/>
    </w:pPr>
    <w:rPr>
      <w:rFonts w:ascii="Calibri" w:hAnsi="Calibri"/>
      <w:b w:val="0"/>
      <w:szCs w:val="24"/>
    </w:rPr>
  </w:style>
  <w:style w:type="paragraph" w:styleId="a4">
    <w:name w:val="Body Text"/>
    <w:basedOn w:val="a"/>
    <w:qFormat/>
    <w:pPr>
      <w:spacing w:after="120"/>
    </w:pPr>
    <w:rPr>
      <w:rFonts w:ascii="Times New Roman" w:hAnsi="Times New Roman"/>
      <w:b/>
      <w:kern w:val="0"/>
      <w:sz w:val="20"/>
      <w:szCs w:val="20"/>
    </w:rPr>
  </w:style>
  <w:style w:type="paragraph" w:styleId="8">
    <w:name w:val="index 8"/>
    <w:basedOn w:val="a"/>
    <w:next w:val="a"/>
    <w:qFormat/>
    <w:pPr>
      <w:spacing w:line="360" w:lineRule="auto"/>
      <w:ind w:leftChars="1400" w:left="1400" w:firstLineChars="200" w:firstLine="200"/>
    </w:pPr>
    <w:rPr>
      <w:rFonts w:ascii="Times New Roman" w:eastAsia="宋体" w:hAnsi="Times New Roman" w:cs="Times New Roman"/>
      <w:szCs w:val="22"/>
    </w:rPr>
  </w:style>
  <w:style w:type="paragraph" w:styleId="a5">
    <w:name w:val="Normal Indent"/>
    <w:basedOn w:val="a"/>
    <w:next w:val="8"/>
    <w:link w:val="Char"/>
    <w:qFormat/>
    <w:pPr>
      <w:widowControl/>
      <w:spacing w:line="360" w:lineRule="auto"/>
      <w:ind w:firstLine="420"/>
      <w:jc w:val="left"/>
    </w:pPr>
    <w:rPr>
      <w:rFonts w:ascii="宋体"/>
      <w:kern w:val="0"/>
      <w:szCs w:val="20"/>
    </w:rPr>
  </w:style>
  <w:style w:type="paragraph" w:styleId="a6">
    <w:name w:val="Balloon Text"/>
    <w:basedOn w:val="a"/>
    <w:link w:val="Char0"/>
    <w:qFormat/>
    <w:rPr>
      <w:sz w:val="18"/>
      <w:szCs w:val="18"/>
    </w:rPr>
  </w:style>
  <w:style w:type="paragraph" w:styleId="a7">
    <w:name w:val="List Paragraph"/>
    <w:basedOn w:val="a"/>
    <w:uiPriority w:val="99"/>
    <w:unhideWhenUsed/>
    <w:qFormat/>
    <w:pPr>
      <w:ind w:firstLineChars="200" w:firstLine="420"/>
    </w:pPr>
  </w:style>
  <w:style w:type="paragraph" w:customStyle="1" w:styleId="a8">
    <w:name w:val="表格表头"/>
    <w:basedOn w:val="a"/>
    <w:qFormat/>
    <w:rPr>
      <w:rFonts w:ascii="黑体" w:eastAsia="黑体" w:hAnsi="黑体" w:cs="Times New Roman"/>
      <w:b/>
      <w:snapToGrid w:val="0"/>
      <w:sz w:val="24"/>
    </w:rPr>
  </w:style>
  <w:style w:type="paragraph" w:customStyle="1" w:styleId="Bodytext1">
    <w:name w:val="Body text|1"/>
    <w:basedOn w:val="a"/>
    <w:qFormat/>
    <w:pPr>
      <w:spacing w:line="422" w:lineRule="auto"/>
      <w:ind w:firstLineChars="200" w:firstLine="400"/>
    </w:pPr>
    <w:rPr>
      <w:rFonts w:ascii="MingLiU" w:eastAsia="MingLiU" w:hAnsi="MingLiU" w:cs="MingLiU"/>
      <w:sz w:val="22"/>
      <w:szCs w:val="22"/>
      <w:lang w:val="zh-TW" w:eastAsia="zh-TW" w:bidi="zh-TW"/>
    </w:rPr>
  </w:style>
  <w:style w:type="character" w:customStyle="1" w:styleId="Char">
    <w:name w:val="正文缩进 Char"/>
    <w:link w:val="a5"/>
    <w:qFormat/>
    <w:rPr>
      <w:rFonts w:ascii="宋体"/>
      <w:sz w:val="21"/>
    </w:rPr>
  </w:style>
  <w:style w:type="character" w:customStyle="1" w:styleId="Char0">
    <w:name w:val="批注框文本 Char"/>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337</Words>
  <Characters>1925</Characters>
  <Application>Microsoft Office Word</Application>
  <DocSecurity>0</DocSecurity>
  <Lines>16</Lines>
  <Paragraphs>4</Paragraphs>
  <ScaleCrop>false</ScaleCrop>
  <Company>神州网信技术有限公司</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liangjunwei-530</cp:lastModifiedBy>
  <cp:revision>5</cp:revision>
  <dcterms:created xsi:type="dcterms:W3CDTF">2023-12-15T06:23:00Z</dcterms:created>
  <dcterms:modified xsi:type="dcterms:W3CDTF">2023-12-22T07:07:00Z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53B1A8148F444013AEDCC8499C04D10D</vt:lpwstr>
  </property>
</Properties>
</file>