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40" w:rsidRPr="00E95AFA" w:rsidRDefault="00F376C7">
      <w:pPr>
        <w:jc w:val="center"/>
        <w:rPr>
          <w:rFonts w:ascii="仿宋" w:eastAsia="仿宋" w:hAnsi="仿宋" w:cs="宋体"/>
          <w:sz w:val="44"/>
          <w:szCs w:val="44"/>
        </w:rPr>
      </w:pPr>
      <w:r w:rsidRPr="00E95AFA">
        <w:rPr>
          <w:rFonts w:ascii="仿宋" w:eastAsia="仿宋" w:hAnsi="仿宋" w:cs="宋体" w:hint="eastAsia"/>
          <w:sz w:val="44"/>
          <w:szCs w:val="44"/>
        </w:rPr>
        <w:t>广东科学中心修缮改造项目</w:t>
      </w:r>
    </w:p>
    <w:p w:rsidR="000C6340" w:rsidRPr="00E95AFA" w:rsidRDefault="00F376C7">
      <w:pPr>
        <w:jc w:val="center"/>
        <w:rPr>
          <w:rFonts w:ascii="仿宋" w:eastAsia="仿宋" w:hAnsi="仿宋" w:cs="宋体"/>
          <w:sz w:val="44"/>
          <w:szCs w:val="44"/>
        </w:rPr>
      </w:pPr>
      <w:r w:rsidRPr="00E95AFA">
        <w:rPr>
          <w:rFonts w:ascii="仿宋" w:eastAsia="仿宋" w:hAnsi="仿宋" w:cs="宋体" w:hint="eastAsia"/>
          <w:sz w:val="44"/>
          <w:szCs w:val="44"/>
        </w:rPr>
        <w:t>概算编制服务采购需求</w:t>
      </w:r>
    </w:p>
    <w:p w:rsidR="000C6340" w:rsidRPr="00E95AFA" w:rsidRDefault="000C6340">
      <w:pPr>
        <w:jc w:val="center"/>
        <w:rPr>
          <w:rFonts w:ascii="仿宋" w:eastAsia="仿宋" w:hAnsi="仿宋" w:cs="宋体"/>
          <w:sz w:val="28"/>
          <w:szCs w:val="28"/>
        </w:rPr>
      </w:pPr>
    </w:p>
    <w:p w:rsidR="000C6340" w:rsidRPr="00E95AFA" w:rsidRDefault="00F376C7">
      <w:pPr>
        <w:rPr>
          <w:rFonts w:ascii="仿宋" w:eastAsia="仿宋" w:hAnsi="仿宋" w:cs="宋体"/>
          <w:sz w:val="28"/>
          <w:szCs w:val="28"/>
        </w:rPr>
      </w:pPr>
      <w:r w:rsidRPr="00E95AFA">
        <w:rPr>
          <w:rFonts w:ascii="仿宋" w:eastAsia="仿宋" w:hAnsi="仿宋" w:cs="宋体" w:hint="eastAsia"/>
          <w:sz w:val="28"/>
          <w:szCs w:val="28"/>
        </w:rPr>
        <w:t>一、项目名称：广东科学中心修缮改造项目概算编制服务</w:t>
      </w:r>
      <w:bookmarkStart w:id="0" w:name="_GoBack"/>
      <w:bookmarkEnd w:id="0"/>
    </w:p>
    <w:p w:rsidR="000C6340" w:rsidRPr="00E95AFA" w:rsidRDefault="00F376C7">
      <w:pPr>
        <w:tabs>
          <w:tab w:val="left" w:pos="7513"/>
        </w:tabs>
        <w:spacing w:line="360" w:lineRule="auto"/>
        <w:rPr>
          <w:rFonts w:ascii="仿宋" w:eastAsia="仿宋" w:hAnsi="仿宋" w:cs="宋体"/>
          <w:sz w:val="28"/>
          <w:szCs w:val="28"/>
        </w:rPr>
      </w:pPr>
      <w:r w:rsidRPr="00E95AFA">
        <w:rPr>
          <w:rFonts w:ascii="仿宋" w:eastAsia="仿宋" w:hAnsi="仿宋" w:cs="宋体" w:hint="eastAsia"/>
          <w:sz w:val="28"/>
          <w:szCs w:val="28"/>
        </w:rPr>
        <w:t>二、项目概况</w:t>
      </w:r>
    </w:p>
    <w:p w:rsidR="000C6340" w:rsidRPr="00E95AFA" w:rsidRDefault="00F376C7">
      <w:pPr>
        <w:tabs>
          <w:tab w:val="left" w:pos="7513"/>
        </w:tabs>
        <w:spacing w:line="360" w:lineRule="auto"/>
        <w:ind w:firstLineChars="200" w:firstLine="560"/>
        <w:rPr>
          <w:rFonts w:ascii="仿宋" w:eastAsia="仿宋" w:hAnsi="仿宋"/>
          <w:color w:val="000000"/>
          <w:sz w:val="28"/>
          <w:szCs w:val="28"/>
        </w:rPr>
      </w:pPr>
      <w:r w:rsidRPr="00E95AFA">
        <w:rPr>
          <w:rFonts w:ascii="仿宋" w:eastAsia="仿宋" w:hAnsi="仿宋" w:cs="仿宋" w:hint="eastAsia"/>
          <w:bCs/>
          <w:sz w:val="28"/>
          <w:szCs w:val="28"/>
        </w:rPr>
        <w:t>广东科学中心修缮改造项目</w:t>
      </w:r>
      <w:r w:rsidRPr="00E95AFA">
        <w:rPr>
          <w:rFonts w:ascii="仿宋" w:eastAsia="仿宋" w:hAnsi="仿宋" w:cs="宋体"/>
          <w:sz w:val="28"/>
          <w:szCs w:val="28"/>
        </w:rPr>
        <w:t>估算总投资18</w:t>
      </w:r>
      <w:r w:rsidRPr="00E95AFA">
        <w:rPr>
          <w:rFonts w:ascii="仿宋" w:eastAsia="仿宋" w:hAnsi="仿宋" w:cs="宋体" w:hint="eastAsia"/>
          <w:sz w:val="28"/>
          <w:szCs w:val="28"/>
        </w:rPr>
        <w:t>329</w:t>
      </w:r>
      <w:r w:rsidRPr="00E95AFA">
        <w:rPr>
          <w:rFonts w:ascii="仿宋" w:eastAsia="仿宋" w:hAnsi="仿宋" w:cs="宋体"/>
          <w:sz w:val="28"/>
          <w:szCs w:val="28"/>
        </w:rPr>
        <w:t>.6</w:t>
      </w:r>
      <w:r w:rsidRPr="00E95AFA">
        <w:rPr>
          <w:rFonts w:ascii="仿宋" w:eastAsia="仿宋" w:hAnsi="仿宋" w:cs="宋体" w:hint="eastAsia"/>
          <w:sz w:val="28"/>
          <w:szCs w:val="28"/>
        </w:rPr>
        <w:t>8</w:t>
      </w:r>
      <w:r w:rsidRPr="00E95AFA">
        <w:rPr>
          <w:rFonts w:ascii="仿宋" w:eastAsia="仿宋" w:hAnsi="仿宋" w:cs="宋体"/>
          <w:sz w:val="28"/>
          <w:szCs w:val="28"/>
        </w:rPr>
        <w:t>万元，包括工程费155</w:t>
      </w:r>
      <w:r w:rsidRPr="00E95AFA">
        <w:rPr>
          <w:rFonts w:ascii="仿宋" w:eastAsia="仿宋" w:hAnsi="仿宋" w:cs="宋体" w:hint="eastAsia"/>
          <w:sz w:val="28"/>
          <w:szCs w:val="28"/>
        </w:rPr>
        <w:t>33</w:t>
      </w:r>
      <w:r w:rsidRPr="00E95AFA">
        <w:rPr>
          <w:rFonts w:ascii="仿宋" w:eastAsia="仿宋" w:hAnsi="仿宋" w:cs="宋体"/>
          <w:sz w:val="28"/>
          <w:szCs w:val="28"/>
        </w:rPr>
        <w:t>.</w:t>
      </w:r>
      <w:r w:rsidRPr="00E95AFA">
        <w:rPr>
          <w:rFonts w:ascii="仿宋" w:eastAsia="仿宋" w:hAnsi="仿宋" w:cs="宋体" w:hint="eastAsia"/>
          <w:sz w:val="28"/>
          <w:szCs w:val="28"/>
        </w:rPr>
        <w:t>70</w:t>
      </w:r>
      <w:r w:rsidRPr="00E95AFA">
        <w:rPr>
          <w:rFonts w:ascii="仿宋" w:eastAsia="仿宋" w:hAnsi="仿宋" w:cs="宋体"/>
          <w:sz w:val="28"/>
          <w:szCs w:val="28"/>
        </w:rPr>
        <w:t>万元、工程建设其他费用19</w:t>
      </w:r>
      <w:r w:rsidRPr="00E95AFA">
        <w:rPr>
          <w:rFonts w:ascii="仿宋" w:eastAsia="仿宋" w:hAnsi="仿宋" w:cs="宋体" w:hint="eastAsia"/>
          <w:sz w:val="28"/>
          <w:szCs w:val="28"/>
        </w:rPr>
        <w:t>23</w:t>
      </w:r>
      <w:r w:rsidRPr="00E95AFA">
        <w:rPr>
          <w:rFonts w:ascii="仿宋" w:eastAsia="仿宋" w:hAnsi="仿宋" w:cs="宋体"/>
          <w:sz w:val="28"/>
          <w:szCs w:val="28"/>
        </w:rPr>
        <w:t>.</w:t>
      </w:r>
      <w:r w:rsidRPr="00E95AFA">
        <w:rPr>
          <w:rFonts w:ascii="仿宋" w:eastAsia="仿宋" w:hAnsi="仿宋" w:cs="宋体" w:hint="eastAsia"/>
          <w:sz w:val="28"/>
          <w:szCs w:val="28"/>
        </w:rPr>
        <w:t>14</w:t>
      </w:r>
      <w:r w:rsidRPr="00E95AFA">
        <w:rPr>
          <w:rFonts w:ascii="仿宋" w:eastAsia="仿宋" w:hAnsi="仿宋" w:cs="宋体"/>
          <w:sz w:val="28"/>
          <w:szCs w:val="28"/>
        </w:rPr>
        <w:t>万元、预备费87</w:t>
      </w:r>
      <w:r w:rsidRPr="00E95AFA">
        <w:rPr>
          <w:rFonts w:ascii="仿宋" w:eastAsia="仿宋" w:hAnsi="仿宋" w:cs="宋体" w:hint="eastAsia"/>
          <w:sz w:val="28"/>
          <w:szCs w:val="28"/>
        </w:rPr>
        <w:t>2</w:t>
      </w:r>
      <w:r w:rsidRPr="00E95AFA">
        <w:rPr>
          <w:rFonts w:ascii="仿宋" w:eastAsia="仿宋" w:hAnsi="仿宋" w:cs="宋体"/>
          <w:sz w:val="28"/>
          <w:szCs w:val="28"/>
        </w:rPr>
        <w:t>.</w:t>
      </w:r>
      <w:r w:rsidRPr="00E95AFA">
        <w:rPr>
          <w:rFonts w:ascii="仿宋" w:eastAsia="仿宋" w:hAnsi="仿宋" w:cs="宋体" w:hint="eastAsia"/>
          <w:sz w:val="28"/>
          <w:szCs w:val="28"/>
        </w:rPr>
        <w:t>84</w:t>
      </w:r>
      <w:r w:rsidRPr="00E95AFA">
        <w:rPr>
          <w:rFonts w:ascii="仿宋" w:eastAsia="仿宋" w:hAnsi="仿宋" w:cs="宋体"/>
          <w:sz w:val="28"/>
          <w:szCs w:val="28"/>
        </w:rPr>
        <w:t>万元</w:t>
      </w:r>
      <w:r w:rsidRPr="00E95AFA">
        <w:rPr>
          <w:rFonts w:ascii="仿宋" w:eastAsia="仿宋" w:hAnsi="仿宋" w:cs="宋体" w:hint="eastAsia"/>
          <w:sz w:val="28"/>
          <w:szCs w:val="28"/>
        </w:rPr>
        <w:t>。本项目主体建筑面积</w:t>
      </w:r>
      <w:r w:rsidRPr="00E95AFA">
        <w:rPr>
          <w:rFonts w:ascii="仿宋" w:eastAsia="仿宋" w:hAnsi="仿宋" w:cs="宋体"/>
          <w:sz w:val="28"/>
          <w:szCs w:val="28"/>
        </w:rPr>
        <w:t>12.6万</w:t>
      </w:r>
      <w:r w:rsidRPr="00E95AFA">
        <w:rPr>
          <w:rFonts w:ascii="仿宋" w:eastAsia="仿宋" w:hAnsi="仿宋" w:cs="宋体" w:hint="eastAsia"/>
          <w:sz w:val="28"/>
          <w:szCs w:val="28"/>
        </w:rPr>
        <w:t>㎡</w:t>
      </w:r>
      <w:r w:rsidRPr="00E95AFA">
        <w:rPr>
          <w:rFonts w:ascii="仿宋" w:eastAsia="仿宋" w:hAnsi="仿宋" w:cs="宋体"/>
          <w:sz w:val="28"/>
          <w:szCs w:val="28"/>
        </w:rPr>
        <w:t>，涉及修缮改造主要内容为：</w:t>
      </w:r>
    </w:p>
    <w:p w:rsidR="000C6340" w:rsidRPr="00E95AFA" w:rsidRDefault="00F376C7">
      <w:pPr>
        <w:ind w:firstLine="560"/>
        <w:rPr>
          <w:rFonts w:ascii="仿宋" w:eastAsia="仿宋" w:hAnsi="仿宋"/>
          <w:color w:val="000000"/>
          <w:sz w:val="28"/>
          <w:szCs w:val="28"/>
        </w:rPr>
      </w:pPr>
      <w:r w:rsidRPr="00E95AFA">
        <w:rPr>
          <w:rFonts w:ascii="仿宋" w:eastAsia="仿宋" w:hAnsi="仿宋" w:hint="eastAsia"/>
          <w:color w:val="000000"/>
          <w:sz w:val="28"/>
          <w:szCs w:val="28"/>
        </w:rPr>
        <w:t>1、科学中心主楼修缮改造内容包括场馆主楼建筑和相关设施安全修缮及相关设施更新升级</w:t>
      </w:r>
    </w:p>
    <w:p w:rsidR="000C6340" w:rsidRPr="00E95AFA" w:rsidRDefault="00F376C7">
      <w:pPr>
        <w:adjustRightInd w:val="0"/>
        <w:ind w:firstLine="560"/>
        <w:rPr>
          <w:rFonts w:ascii="仿宋" w:eastAsia="仿宋" w:hAnsi="仿宋"/>
          <w:color w:val="000000"/>
          <w:sz w:val="28"/>
          <w:szCs w:val="28"/>
        </w:rPr>
      </w:pPr>
      <w:r w:rsidRPr="00E95AFA">
        <w:rPr>
          <w:rFonts w:ascii="仿宋" w:eastAsia="仿宋" w:hAnsi="仿宋" w:hint="eastAsia"/>
          <w:color w:val="000000"/>
          <w:sz w:val="28"/>
          <w:szCs w:val="28"/>
        </w:rPr>
        <w:t>柔性PVC屋面漏水处理与屋面光伏发电示范区建设；屋面重新安装防雷带；主楼玻璃屋面、球幕影院玻璃屋面和屋面遮阳板面层铝板结构胶更换；主楼亲水平台钢结构钢架防火、防腐处理；主楼中庭屋面遮阳板钢结构防锈油漆处理；机电系统维修及升级改造</w:t>
      </w:r>
      <w:r w:rsidR="005959DB">
        <w:rPr>
          <w:rFonts w:ascii="仿宋" w:eastAsia="仿宋" w:hAnsi="仿宋" w:hint="eastAsia"/>
          <w:color w:val="000000"/>
          <w:sz w:val="28"/>
          <w:szCs w:val="28"/>
        </w:rPr>
        <w:t>；火灾自动报警系统主设备升级改造；消防联动控制系统前端升级改造</w:t>
      </w:r>
      <w:r w:rsidRPr="00E95AFA">
        <w:rPr>
          <w:rFonts w:ascii="仿宋" w:eastAsia="仿宋" w:hAnsi="仿宋" w:hint="eastAsia"/>
          <w:color w:val="000000"/>
          <w:sz w:val="28"/>
          <w:szCs w:val="28"/>
        </w:rPr>
        <w:t>；主建筑周边地面、道路修复</w:t>
      </w:r>
      <w:r w:rsidR="005959DB" w:rsidRPr="00E95AFA">
        <w:rPr>
          <w:rFonts w:ascii="仿宋" w:eastAsia="仿宋" w:hAnsi="仿宋" w:hint="eastAsia"/>
          <w:color w:val="000000"/>
          <w:sz w:val="28"/>
          <w:szCs w:val="28"/>
        </w:rPr>
        <w:t>等</w:t>
      </w:r>
      <w:r w:rsidRPr="00E95AFA">
        <w:rPr>
          <w:rFonts w:ascii="仿宋" w:eastAsia="仿宋" w:hAnsi="仿宋" w:hint="eastAsia"/>
          <w:color w:val="000000"/>
          <w:sz w:val="28"/>
          <w:szCs w:val="28"/>
        </w:rPr>
        <w:t>。</w:t>
      </w:r>
    </w:p>
    <w:p w:rsidR="000C6340" w:rsidRPr="00E95AFA" w:rsidRDefault="00F376C7">
      <w:pPr>
        <w:ind w:firstLine="560"/>
        <w:rPr>
          <w:rFonts w:ascii="仿宋" w:eastAsia="仿宋" w:hAnsi="仿宋"/>
          <w:color w:val="000000"/>
          <w:sz w:val="28"/>
          <w:szCs w:val="28"/>
        </w:rPr>
      </w:pPr>
      <w:r w:rsidRPr="00E95AFA">
        <w:rPr>
          <w:rFonts w:ascii="仿宋" w:eastAsia="仿宋" w:hAnsi="仿宋" w:hint="eastAsia"/>
          <w:color w:val="000000"/>
          <w:sz w:val="28"/>
          <w:szCs w:val="28"/>
        </w:rPr>
        <w:t>2、展厅展项、科普教育、科技影院及信息化服务系统</w:t>
      </w:r>
    </w:p>
    <w:p w:rsidR="000C6340" w:rsidRPr="00E95AFA" w:rsidRDefault="00F376C7">
      <w:pPr>
        <w:ind w:leftChars="50" w:left="105" w:firstLineChars="150" w:firstLine="420"/>
        <w:rPr>
          <w:rFonts w:ascii="仿宋" w:eastAsia="仿宋" w:hAnsi="仿宋"/>
          <w:b/>
          <w:color w:val="000000"/>
          <w:sz w:val="28"/>
          <w:szCs w:val="28"/>
        </w:rPr>
      </w:pPr>
      <w:r w:rsidRPr="00E95AFA">
        <w:rPr>
          <w:rFonts w:ascii="仿宋" w:eastAsia="仿宋" w:hAnsi="仿宋" w:hint="eastAsia"/>
          <w:color w:val="000000"/>
          <w:sz w:val="28"/>
          <w:szCs w:val="28"/>
        </w:rPr>
        <w:t>（1）展厅展览更新改造</w:t>
      </w:r>
      <w:r w:rsidRPr="00E95AFA">
        <w:rPr>
          <w:rFonts w:ascii="仿宋" w:eastAsia="仿宋" w:hAnsi="仿宋" w:cs="宋体" w:hint="eastAsia"/>
          <w:color w:val="000000"/>
          <w:sz w:val="28"/>
          <w:szCs w:val="28"/>
        </w:rPr>
        <w:t>，包括</w:t>
      </w:r>
      <w:r w:rsidRPr="00E95AFA">
        <w:rPr>
          <w:rFonts w:ascii="仿宋" w:eastAsia="仿宋" w:hAnsi="仿宋" w:hint="eastAsia"/>
          <w:color w:val="000000"/>
          <w:sz w:val="28"/>
          <w:szCs w:val="28"/>
        </w:rPr>
        <w:t>“飞天之梦”展馆展项和布展更新改造</w:t>
      </w:r>
      <w:r w:rsidRPr="00E95AFA">
        <w:rPr>
          <w:rFonts w:ascii="仿宋" w:eastAsia="仿宋" w:hAnsi="仿宋" w:cs="宋体" w:hint="eastAsia"/>
          <w:color w:val="000000"/>
          <w:sz w:val="28"/>
          <w:szCs w:val="28"/>
        </w:rPr>
        <w:t>、</w:t>
      </w:r>
      <w:r w:rsidRPr="00E95AFA">
        <w:rPr>
          <w:rFonts w:ascii="仿宋" w:eastAsia="仿宋" w:hAnsi="仿宋" w:hint="eastAsia"/>
          <w:color w:val="000000"/>
          <w:sz w:val="28"/>
          <w:szCs w:val="28"/>
        </w:rPr>
        <w:t>“绿色家园”展馆展项和布展更新改造、“岭南科技纵横”展馆展项和布展更新改造</w:t>
      </w:r>
      <w:r w:rsidRPr="00E95AFA">
        <w:rPr>
          <w:rFonts w:ascii="仿宋" w:eastAsia="仿宋" w:hAnsi="仿宋" w:cs="宋体" w:hint="eastAsia"/>
          <w:color w:val="000000"/>
          <w:sz w:val="28"/>
          <w:szCs w:val="28"/>
        </w:rPr>
        <w:t>、“</w:t>
      </w:r>
      <w:proofErr w:type="gramStart"/>
      <w:r w:rsidRPr="00E95AFA">
        <w:rPr>
          <w:rFonts w:ascii="仿宋" w:eastAsia="仿宋" w:hAnsi="仿宋" w:cs="宋体" w:hint="eastAsia"/>
          <w:color w:val="000000"/>
          <w:sz w:val="28"/>
          <w:szCs w:val="28"/>
        </w:rPr>
        <w:t>世</w:t>
      </w:r>
      <w:proofErr w:type="gramEnd"/>
      <w:r w:rsidRPr="00E95AFA">
        <w:rPr>
          <w:rFonts w:ascii="仿宋" w:eastAsia="仿宋" w:hAnsi="仿宋" w:cs="宋体" w:hint="eastAsia"/>
          <w:color w:val="000000"/>
          <w:sz w:val="28"/>
          <w:szCs w:val="28"/>
        </w:rPr>
        <w:t>博广东馆”拆除及建筑修复</w:t>
      </w:r>
      <w:r w:rsidRPr="00E95AFA">
        <w:rPr>
          <w:rFonts w:ascii="仿宋" w:eastAsia="仿宋" w:hAnsi="仿宋" w:hint="eastAsia"/>
          <w:color w:val="000000"/>
          <w:sz w:val="28"/>
          <w:szCs w:val="28"/>
        </w:rPr>
        <w:t>、二楼临时展厅改造</w:t>
      </w:r>
      <w:r w:rsidR="006F7E75">
        <w:rPr>
          <w:rFonts w:ascii="仿宋" w:eastAsia="仿宋" w:hAnsi="仿宋" w:hint="eastAsia"/>
          <w:color w:val="000000"/>
          <w:sz w:val="28"/>
          <w:szCs w:val="28"/>
        </w:rPr>
        <w:t>等</w:t>
      </w:r>
      <w:r w:rsidRPr="00E95AFA">
        <w:rPr>
          <w:rFonts w:ascii="仿宋" w:eastAsia="仿宋" w:hAnsi="仿宋" w:cs="宋体" w:hint="eastAsia"/>
          <w:color w:val="000000"/>
          <w:sz w:val="28"/>
          <w:szCs w:val="28"/>
        </w:rPr>
        <w:t>。</w:t>
      </w:r>
    </w:p>
    <w:p w:rsidR="000C6340" w:rsidRPr="00E95AFA" w:rsidRDefault="00F376C7">
      <w:pPr>
        <w:pStyle w:val="a5"/>
        <w:spacing w:line="312" w:lineRule="auto"/>
        <w:ind w:firstLineChars="200" w:firstLine="560"/>
        <w:rPr>
          <w:rFonts w:ascii="仿宋" w:eastAsia="仿宋" w:hAnsi="仿宋"/>
          <w:b w:val="0"/>
          <w:snapToGrid/>
          <w:color w:val="000000"/>
          <w:sz w:val="28"/>
          <w:szCs w:val="28"/>
        </w:rPr>
      </w:pPr>
      <w:r w:rsidRPr="00E95AFA">
        <w:rPr>
          <w:rFonts w:ascii="仿宋" w:eastAsia="仿宋" w:hAnsi="仿宋" w:hint="eastAsia"/>
          <w:b w:val="0"/>
          <w:snapToGrid/>
          <w:color w:val="000000"/>
          <w:sz w:val="28"/>
          <w:szCs w:val="28"/>
        </w:rPr>
        <w:t>（2）科普教育功能提升改造</w:t>
      </w:r>
    </w:p>
    <w:p w:rsidR="000C6340" w:rsidRPr="00E95AFA" w:rsidRDefault="00F376C7">
      <w:pPr>
        <w:pStyle w:val="a5"/>
        <w:spacing w:line="312" w:lineRule="auto"/>
        <w:ind w:firstLineChars="200" w:firstLine="560"/>
        <w:rPr>
          <w:rFonts w:ascii="仿宋" w:eastAsia="仿宋" w:hAnsi="仿宋"/>
          <w:b w:val="0"/>
          <w:snapToGrid/>
          <w:color w:val="000000"/>
          <w:sz w:val="28"/>
          <w:szCs w:val="28"/>
        </w:rPr>
      </w:pPr>
      <w:r w:rsidRPr="00E95AFA">
        <w:rPr>
          <w:rFonts w:ascii="仿宋" w:eastAsia="仿宋" w:hAnsi="仿宋" w:hint="eastAsia"/>
          <w:b w:val="0"/>
          <w:snapToGrid/>
          <w:color w:val="000000"/>
          <w:sz w:val="28"/>
          <w:szCs w:val="28"/>
        </w:rPr>
        <w:t>包括开放实验室和科学探究工作坊更新改造和科普讲解报告厅改造。</w:t>
      </w:r>
    </w:p>
    <w:p w:rsidR="000C6340" w:rsidRPr="00E95AFA" w:rsidRDefault="00F376C7">
      <w:pPr>
        <w:ind w:leftChars="50" w:left="105" w:firstLineChars="150" w:firstLine="420"/>
        <w:rPr>
          <w:rFonts w:ascii="仿宋" w:eastAsia="仿宋" w:hAnsi="仿宋"/>
          <w:color w:val="000000"/>
          <w:sz w:val="28"/>
          <w:szCs w:val="28"/>
        </w:rPr>
      </w:pPr>
      <w:r w:rsidRPr="00E95AFA">
        <w:rPr>
          <w:rFonts w:ascii="仿宋" w:eastAsia="仿宋" w:hAnsi="仿宋" w:hint="eastAsia"/>
          <w:color w:val="000000"/>
          <w:sz w:val="28"/>
          <w:szCs w:val="28"/>
        </w:rPr>
        <w:t>（3）科技影院升级改造</w:t>
      </w:r>
    </w:p>
    <w:p w:rsidR="000C6340" w:rsidRPr="00E95AFA" w:rsidRDefault="00F376C7">
      <w:pPr>
        <w:ind w:leftChars="50" w:left="105" w:firstLineChars="150" w:firstLine="420"/>
        <w:rPr>
          <w:rFonts w:ascii="仿宋" w:eastAsia="仿宋" w:hAnsi="仿宋"/>
          <w:color w:val="000000"/>
          <w:sz w:val="28"/>
          <w:szCs w:val="28"/>
        </w:rPr>
      </w:pPr>
      <w:r w:rsidRPr="00E95AFA">
        <w:rPr>
          <w:rFonts w:ascii="仿宋" w:eastAsia="仿宋" w:hAnsi="仿宋" w:hint="eastAsia"/>
          <w:color w:val="000000"/>
          <w:sz w:val="28"/>
          <w:szCs w:val="28"/>
        </w:rPr>
        <w:lastRenderedPageBreak/>
        <w:t>包括球幕影院和3D巨幕影院的升级改造。</w:t>
      </w:r>
    </w:p>
    <w:p w:rsidR="000C6340" w:rsidRPr="00E95AFA" w:rsidRDefault="00F376C7">
      <w:pPr>
        <w:ind w:leftChars="50" w:left="105" w:firstLineChars="150" w:firstLine="420"/>
        <w:rPr>
          <w:rFonts w:ascii="仿宋" w:eastAsia="仿宋" w:hAnsi="仿宋"/>
          <w:color w:val="000000"/>
          <w:sz w:val="28"/>
          <w:szCs w:val="28"/>
        </w:rPr>
      </w:pPr>
      <w:r w:rsidRPr="00E95AFA">
        <w:rPr>
          <w:rFonts w:ascii="仿宋" w:eastAsia="仿宋" w:hAnsi="仿宋" w:hint="eastAsia"/>
          <w:color w:val="000000"/>
          <w:sz w:val="28"/>
          <w:szCs w:val="28"/>
        </w:rPr>
        <w:t>（4）场馆信息化支撑技术和设备进行升级改造。</w:t>
      </w:r>
    </w:p>
    <w:p w:rsidR="000C6340" w:rsidRPr="00E95AFA" w:rsidRDefault="00F376C7">
      <w:pPr>
        <w:adjustRightInd w:val="0"/>
        <w:ind w:firstLine="560"/>
        <w:rPr>
          <w:rFonts w:ascii="仿宋" w:eastAsia="仿宋" w:hAnsi="仿宋"/>
          <w:color w:val="000000"/>
          <w:sz w:val="28"/>
          <w:szCs w:val="28"/>
        </w:rPr>
      </w:pPr>
      <w:r w:rsidRPr="00E95AFA">
        <w:rPr>
          <w:rFonts w:ascii="仿宋" w:eastAsia="仿宋" w:hAnsi="仿宋" w:hint="eastAsia"/>
          <w:color w:val="000000"/>
          <w:sz w:val="28"/>
          <w:szCs w:val="28"/>
        </w:rPr>
        <w:t>3、室外工程建设</w:t>
      </w:r>
    </w:p>
    <w:p w:rsidR="000C6340" w:rsidRPr="00E95AFA" w:rsidRDefault="00F376C7">
      <w:pPr>
        <w:adjustRightInd w:val="0"/>
        <w:ind w:firstLine="560"/>
        <w:rPr>
          <w:rFonts w:ascii="仿宋" w:eastAsia="仿宋" w:hAnsi="仿宋"/>
          <w:color w:val="000000"/>
          <w:sz w:val="28"/>
          <w:szCs w:val="28"/>
        </w:rPr>
      </w:pPr>
      <w:r w:rsidRPr="00E95AFA">
        <w:rPr>
          <w:rFonts w:ascii="仿宋" w:eastAsia="仿宋" w:hAnsi="仿宋" w:hint="eastAsia"/>
          <w:color w:val="000000"/>
          <w:sz w:val="28"/>
          <w:szCs w:val="28"/>
        </w:rPr>
        <w:t>人工湖生态及循环系统修复改造。</w:t>
      </w:r>
    </w:p>
    <w:p w:rsidR="000C6340" w:rsidRPr="00E95AFA" w:rsidRDefault="00F376C7">
      <w:pPr>
        <w:rPr>
          <w:rFonts w:ascii="仿宋" w:eastAsia="仿宋" w:hAnsi="仿宋" w:cs="宋体"/>
          <w:sz w:val="28"/>
          <w:szCs w:val="28"/>
        </w:rPr>
      </w:pPr>
      <w:r w:rsidRPr="00E95AFA">
        <w:rPr>
          <w:rFonts w:ascii="仿宋" w:eastAsia="仿宋" w:hAnsi="仿宋" w:cs="宋体" w:hint="eastAsia"/>
          <w:sz w:val="28"/>
          <w:szCs w:val="28"/>
        </w:rPr>
        <w:t>三、服务范围及服务费</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1、对</w:t>
      </w:r>
      <w:r w:rsidRPr="00E95AFA">
        <w:rPr>
          <w:rFonts w:ascii="仿宋" w:eastAsia="仿宋" w:hAnsi="仿宋" w:cs="仿宋" w:hint="eastAsia"/>
          <w:bCs/>
          <w:sz w:val="28"/>
          <w:szCs w:val="28"/>
        </w:rPr>
        <w:t>修缮改造项目</w:t>
      </w:r>
      <w:r w:rsidRPr="00E95AFA">
        <w:rPr>
          <w:rFonts w:ascii="仿宋" w:eastAsia="仿宋" w:hAnsi="仿宋" w:cs="宋体" w:hint="eastAsia"/>
          <w:sz w:val="28"/>
          <w:szCs w:val="28"/>
        </w:rPr>
        <w:t>提供概算编制工作，以及概算审定过程中的跟踪、修编等后续服务。</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2、本项目服务报价为总价包干，包含供应商为完成本项服务所发生的一切费用。由于本修缮项目包含数个</w:t>
      </w:r>
      <w:r w:rsidR="00EC5040">
        <w:rPr>
          <w:rFonts w:ascii="仿宋" w:eastAsia="仿宋" w:hAnsi="仿宋" w:cs="宋体" w:hint="eastAsia"/>
          <w:sz w:val="28"/>
          <w:szCs w:val="28"/>
        </w:rPr>
        <w:t>子</w:t>
      </w:r>
      <w:r w:rsidRPr="00E95AFA">
        <w:rPr>
          <w:rFonts w:ascii="仿宋" w:eastAsia="仿宋" w:hAnsi="仿宋" w:cs="宋体" w:hint="eastAsia"/>
          <w:sz w:val="28"/>
          <w:szCs w:val="28"/>
        </w:rPr>
        <w:t>项目，各单项工程</w:t>
      </w:r>
      <w:r w:rsidR="00EC5040">
        <w:rPr>
          <w:rFonts w:ascii="仿宋" w:eastAsia="仿宋" w:hAnsi="仿宋" w:cs="宋体" w:hint="eastAsia"/>
          <w:sz w:val="28"/>
          <w:szCs w:val="28"/>
        </w:rPr>
        <w:t>按计划先后</w:t>
      </w:r>
      <w:r w:rsidRPr="00E95AFA">
        <w:rPr>
          <w:rFonts w:ascii="仿宋" w:eastAsia="仿宋" w:hAnsi="仿宋" w:cs="宋体" w:hint="eastAsia"/>
          <w:sz w:val="28"/>
          <w:szCs w:val="28"/>
        </w:rPr>
        <w:t>实施，其概算所需资料需要逐步提供、完善，但修缮项目必须整体申报概算审批，因此服务周期需根据项目进展进行调整，</w:t>
      </w:r>
      <w:r w:rsidR="006F7E75">
        <w:rPr>
          <w:rFonts w:ascii="仿宋" w:eastAsia="仿宋" w:hAnsi="仿宋" w:cs="宋体" w:hint="eastAsia"/>
          <w:sz w:val="28"/>
          <w:szCs w:val="28"/>
        </w:rPr>
        <w:t>且</w:t>
      </w:r>
      <w:r w:rsidRPr="00E95AFA">
        <w:rPr>
          <w:rFonts w:ascii="仿宋" w:eastAsia="仿宋" w:hAnsi="仿宋" w:cs="宋体" w:hint="eastAsia"/>
          <w:sz w:val="28"/>
          <w:szCs w:val="28"/>
        </w:rPr>
        <w:t>委托人</w:t>
      </w:r>
      <w:proofErr w:type="gramStart"/>
      <w:r w:rsidRPr="00E95AFA">
        <w:rPr>
          <w:rFonts w:ascii="仿宋" w:eastAsia="仿宋" w:hAnsi="仿宋" w:cs="宋体" w:hint="eastAsia"/>
          <w:sz w:val="28"/>
          <w:szCs w:val="28"/>
        </w:rPr>
        <w:t>不</w:t>
      </w:r>
      <w:proofErr w:type="gramEnd"/>
      <w:r w:rsidRPr="00E95AFA">
        <w:rPr>
          <w:rFonts w:ascii="仿宋" w:eastAsia="仿宋" w:hAnsi="仿宋" w:cs="宋体" w:hint="eastAsia"/>
          <w:sz w:val="28"/>
          <w:szCs w:val="28"/>
        </w:rPr>
        <w:t>因此增加任何费用。</w:t>
      </w:r>
    </w:p>
    <w:p w:rsidR="000C6340" w:rsidRPr="00E95AFA" w:rsidRDefault="00F376C7">
      <w:pPr>
        <w:pStyle w:val="Bodytext1"/>
        <w:tabs>
          <w:tab w:val="left" w:pos="531"/>
        </w:tabs>
        <w:spacing w:line="483" w:lineRule="exact"/>
        <w:ind w:firstLineChars="0" w:firstLine="0"/>
        <w:rPr>
          <w:rFonts w:ascii="仿宋" w:eastAsia="仿宋" w:hAnsi="仿宋" w:cs="仿宋"/>
          <w:b/>
          <w:bCs/>
          <w:sz w:val="28"/>
          <w:szCs w:val="28"/>
        </w:rPr>
      </w:pPr>
      <w:r w:rsidRPr="00E95AFA">
        <w:rPr>
          <w:rFonts w:ascii="仿宋" w:eastAsia="仿宋" w:hAnsi="仿宋" w:cs="宋体" w:hint="eastAsia"/>
          <w:sz w:val="28"/>
          <w:szCs w:val="28"/>
        </w:rPr>
        <w:t>四、</w:t>
      </w:r>
      <w:r w:rsidRPr="00E95AFA">
        <w:rPr>
          <w:rFonts w:ascii="仿宋" w:eastAsia="仿宋" w:hAnsi="仿宋" w:cs="仿宋" w:hint="eastAsia"/>
          <w:b/>
          <w:bCs/>
          <w:sz w:val="28"/>
          <w:szCs w:val="28"/>
        </w:rPr>
        <w:t>服务工期及</w:t>
      </w:r>
      <w:r w:rsidRPr="00E95AFA">
        <w:rPr>
          <w:rFonts w:ascii="仿宋" w:eastAsia="仿宋" w:hAnsi="仿宋" w:cs="仿宋" w:hint="eastAsia"/>
          <w:b/>
          <w:bCs/>
          <w:sz w:val="28"/>
          <w:szCs w:val="28"/>
          <w:lang w:eastAsia="zh-CN"/>
        </w:rPr>
        <w:t>工作要求</w:t>
      </w:r>
      <w:r w:rsidRPr="00E95AFA">
        <w:rPr>
          <w:rFonts w:ascii="仿宋" w:eastAsia="仿宋" w:hAnsi="仿宋" w:cs="仿宋" w:hint="eastAsia"/>
          <w:b/>
          <w:bCs/>
          <w:sz w:val="28"/>
          <w:szCs w:val="28"/>
        </w:rPr>
        <w:t>：</w:t>
      </w:r>
    </w:p>
    <w:p w:rsidR="000C6340" w:rsidRPr="00E95AFA" w:rsidRDefault="00F376C7">
      <w:pPr>
        <w:adjustRightInd w:val="0"/>
        <w:ind w:firstLineChars="200" w:firstLine="560"/>
        <w:rPr>
          <w:rFonts w:ascii="仿宋" w:eastAsia="仿宋" w:hAnsi="仿宋" w:cs="宋体"/>
          <w:sz w:val="28"/>
          <w:szCs w:val="28"/>
        </w:rPr>
      </w:pPr>
      <w:r w:rsidRPr="00E95AFA">
        <w:rPr>
          <w:rFonts w:ascii="仿宋" w:eastAsia="仿宋" w:hAnsi="仿宋" w:cs="宋体" w:hint="eastAsia"/>
          <w:sz w:val="28"/>
          <w:szCs w:val="28"/>
        </w:rPr>
        <w:t>1、本项目服务工期：自合同签订后至最终取得审批部门对本项目概算的同意批复止，其中各单项工程概算编制完成并汇总完成时间</w:t>
      </w:r>
      <w:r w:rsidR="00EC5040">
        <w:rPr>
          <w:rFonts w:ascii="仿宋" w:eastAsia="仿宋" w:hAnsi="仿宋" w:cs="宋体" w:hint="eastAsia"/>
          <w:sz w:val="28"/>
          <w:szCs w:val="28"/>
        </w:rPr>
        <w:t>预计</w:t>
      </w:r>
      <w:r w:rsidRPr="00E95AFA">
        <w:rPr>
          <w:rFonts w:ascii="仿宋" w:eastAsia="仿宋" w:hAnsi="仿宋" w:cs="宋体" w:hint="eastAsia"/>
          <w:sz w:val="28"/>
          <w:szCs w:val="28"/>
        </w:rPr>
        <w:t>180日历天。</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2、供应商应熟悉概算编制方法，熟悉财政投资项目概算申报审批流程。</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3、供应商</w:t>
      </w:r>
      <w:proofErr w:type="gramStart"/>
      <w:r w:rsidRPr="00E95AFA">
        <w:rPr>
          <w:rFonts w:ascii="仿宋" w:eastAsia="仿宋" w:hAnsi="仿宋" w:cs="宋体" w:hint="eastAsia"/>
          <w:sz w:val="28"/>
          <w:szCs w:val="28"/>
        </w:rPr>
        <w:t>应现场</w:t>
      </w:r>
      <w:proofErr w:type="gramEnd"/>
      <w:r w:rsidRPr="00E95AFA">
        <w:rPr>
          <w:rFonts w:ascii="仿宋" w:eastAsia="仿宋" w:hAnsi="仿宋" w:cs="宋体" w:hint="eastAsia"/>
          <w:sz w:val="28"/>
          <w:szCs w:val="28"/>
        </w:rPr>
        <w:t>勘察，实际了解项目情况</w:t>
      </w:r>
      <w:r w:rsidR="006F7E75">
        <w:rPr>
          <w:rFonts w:ascii="仿宋" w:eastAsia="仿宋" w:hAnsi="仿宋" w:cs="宋体" w:hint="eastAsia"/>
          <w:sz w:val="28"/>
          <w:szCs w:val="28"/>
        </w:rPr>
        <w:t>。</w:t>
      </w:r>
      <w:r w:rsidRPr="00E95AFA">
        <w:rPr>
          <w:rFonts w:ascii="仿宋" w:eastAsia="仿宋" w:hAnsi="仿宋" w:cs="宋体" w:hint="eastAsia"/>
          <w:sz w:val="28"/>
          <w:szCs w:val="28"/>
        </w:rPr>
        <w:t>拟派本项目的造价咨询项目负责人、专业造价人员及相关工作人员不少于10人，其中项目负责人具有工程类高级或以上职称且具有国家一级注册造价工程师资格；专业造价人员配置两名一级注册造价工程师（建筑工程和安装工程专业各一名），4名二级注册造价工程师（建筑工程和安装工程专业各两名），其他工作人员若干名。</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4、本项目总概算汇总</w:t>
      </w:r>
      <w:r w:rsidR="007F4A4D" w:rsidRPr="00E95AFA">
        <w:rPr>
          <w:rFonts w:ascii="仿宋" w:eastAsia="仿宋" w:hAnsi="仿宋" w:cs="宋体" w:hint="eastAsia"/>
          <w:sz w:val="28"/>
          <w:szCs w:val="28"/>
        </w:rPr>
        <w:t>期间，</w:t>
      </w:r>
      <w:r w:rsidRPr="00E95AFA">
        <w:rPr>
          <w:rFonts w:ascii="仿宋" w:eastAsia="仿宋" w:hAnsi="仿宋" w:cs="宋体" w:hint="eastAsia"/>
          <w:sz w:val="28"/>
          <w:szCs w:val="28"/>
        </w:rPr>
        <w:t>安排专业造价人员</w:t>
      </w:r>
      <w:r w:rsidR="007F4A4D" w:rsidRPr="00E95AFA">
        <w:rPr>
          <w:rFonts w:ascii="仿宋" w:eastAsia="仿宋" w:hAnsi="仿宋" w:cs="宋体" w:hint="eastAsia"/>
          <w:sz w:val="28"/>
          <w:szCs w:val="28"/>
        </w:rPr>
        <w:t>每周不少于一天</w:t>
      </w:r>
      <w:proofErr w:type="gramStart"/>
      <w:r w:rsidRPr="00E95AFA">
        <w:rPr>
          <w:rFonts w:ascii="仿宋" w:eastAsia="仿宋" w:hAnsi="仿宋" w:cs="宋体" w:hint="eastAsia"/>
          <w:sz w:val="28"/>
          <w:szCs w:val="28"/>
        </w:rPr>
        <w:t>驻项目</w:t>
      </w:r>
      <w:proofErr w:type="gramEnd"/>
      <w:r w:rsidRPr="00E95AFA">
        <w:rPr>
          <w:rFonts w:ascii="仿宋" w:eastAsia="仿宋" w:hAnsi="仿宋" w:cs="宋体" w:hint="eastAsia"/>
          <w:sz w:val="28"/>
          <w:szCs w:val="28"/>
        </w:rPr>
        <w:t>现场办公，为采购人收集项目概算所需要的资料提供专业指导意见及实施办法，</w:t>
      </w:r>
      <w:r w:rsidRPr="00E95AFA">
        <w:rPr>
          <w:rFonts w:ascii="仿宋" w:eastAsia="仿宋" w:hAnsi="仿宋" w:cs="宋体" w:hint="eastAsia"/>
          <w:sz w:val="28"/>
          <w:szCs w:val="28"/>
        </w:rPr>
        <w:lastRenderedPageBreak/>
        <w:t>组织相关专业造价人员及时编制各单项工程概算并汇总总概算。</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5、项目团队各专业人员须配合委托人向主管部门申报概算，并就主管部门提出的专业问题提供技术支持或解决办法或修正概算。</w:t>
      </w:r>
    </w:p>
    <w:p w:rsidR="000C6340" w:rsidRPr="00E95AFA" w:rsidRDefault="00F376C7">
      <w:pPr>
        <w:pStyle w:val="Bodytext1"/>
        <w:tabs>
          <w:tab w:val="left" w:pos="531"/>
        </w:tabs>
        <w:spacing w:line="483" w:lineRule="exact"/>
        <w:ind w:firstLineChars="0" w:firstLine="0"/>
        <w:rPr>
          <w:rFonts w:ascii="仿宋" w:eastAsia="仿宋" w:hAnsi="仿宋" w:cs="仿宋"/>
          <w:b/>
          <w:bCs/>
          <w:sz w:val="28"/>
          <w:szCs w:val="28"/>
        </w:rPr>
      </w:pPr>
      <w:r w:rsidRPr="00E95AFA">
        <w:rPr>
          <w:rFonts w:ascii="仿宋" w:eastAsia="仿宋" w:hAnsi="仿宋" w:cs="仿宋" w:hint="eastAsia"/>
          <w:b/>
          <w:bCs/>
          <w:sz w:val="28"/>
          <w:szCs w:val="28"/>
          <w:lang w:eastAsia="zh-CN"/>
        </w:rPr>
        <w:t>五、供应商资质要求</w:t>
      </w:r>
    </w:p>
    <w:p w:rsidR="000C6340" w:rsidRPr="00E95AFA" w:rsidRDefault="00F376C7">
      <w:pPr>
        <w:adjustRightInd w:val="0"/>
        <w:ind w:firstLineChars="200" w:firstLine="560"/>
        <w:rPr>
          <w:rFonts w:ascii="仿宋" w:eastAsia="仿宋" w:hAnsi="仿宋"/>
          <w:color w:val="000000"/>
          <w:sz w:val="28"/>
          <w:szCs w:val="28"/>
        </w:rPr>
      </w:pPr>
      <w:bookmarkStart w:id="1" w:name="bookmark22"/>
      <w:bookmarkEnd w:id="1"/>
      <w:r w:rsidRPr="00E95AFA">
        <w:rPr>
          <w:rFonts w:ascii="仿宋" w:eastAsia="仿宋" w:hAnsi="仿宋" w:hint="eastAsia"/>
          <w:color w:val="000000"/>
          <w:sz w:val="28"/>
          <w:szCs w:val="28"/>
        </w:rPr>
        <w:t>1、供应商应具备《中华人民共和国政府采购法》第二十二条规定的条件，提供下列材料：</w:t>
      </w:r>
    </w:p>
    <w:p w:rsidR="000C6340" w:rsidRPr="00E95AFA" w:rsidRDefault="00F376C7">
      <w:pPr>
        <w:adjustRightInd w:val="0"/>
        <w:ind w:firstLineChars="200" w:firstLine="560"/>
        <w:rPr>
          <w:rFonts w:ascii="仿宋" w:eastAsia="仿宋" w:hAnsi="仿宋"/>
          <w:color w:val="000000"/>
          <w:sz w:val="28"/>
          <w:szCs w:val="28"/>
        </w:rPr>
      </w:pPr>
      <w:r w:rsidRPr="00E95AFA">
        <w:rPr>
          <w:rFonts w:ascii="仿宋" w:eastAsia="仿宋" w:hAnsi="仿宋" w:hint="eastAsia"/>
          <w:color w:val="000000"/>
          <w:sz w:val="28"/>
          <w:szCs w:val="28"/>
        </w:rPr>
        <w:t>1）具有独立承担民事责任的能力：在中华人民共和国境内注册的法人或其他组织或自然人， 提交有效的营业执照（或事业法人登记证或身份证等相关证明） 副本复印件。分支机构投标的，须提供总公司和分公司营业执照副本复印件，总公司出具给分支机构的授权书。</w:t>
      </w:r>
    </w:p>
    <w:p w:rsidR="000C6340" w:rsidRPr="00E95AFA" w:rsidRDefault="00F376C7">
      <w:pPr>
        <w:adjustRightInd w:val="0"/>
        <w:ind w:firstLineChars="200" w:firstLine="560"/>
        <w:rPr>
          <w:rFonts w:ascii="仿宋" w:eastAsia="仿宋" w:hAnsi="仿宋"/>
          <w:color w:val="000000"/>
          <w:sz w:val="28"/>
          <w:szCs w:val="28"/>
        </w:rPr>
      </w:pPr>
      <w:r w:rsidRPr="00E95AFA">
        <w:rPr>
          <w:rFonts w:ascii="仿宋" w:eastAsia="仿宋" w:hAnsi="仿宋" w:hint="eastAsia"/>
          <w:color w:val="000000"/>
          <w:sz w:val="28"/>
          <w:szCs w:val="28"/>
        </w:rPr>
        <w:t>2）有依法缴纳税收和社会保障资金的良好记录：提供书面声明函。</w:t>
      </w:r>
    </w:p>
    <w:p w:rsidR="000C6340" w:rsidRPr="00E95AFA" w:rsidRDefault="00F376C7">
      <w:pPr>
        <w:adjustRightInd w:val="0"/>
        <w:ind w:firstLineChars="200" w:firstLine="560"/>
        <w:rPr>
          <w:rFonts w:ascii="仿宋" w:eastAsia="仿宋" w:hAnsi="仿宋"/>
          <w:color w:val="000000"/>
          <w:sz w:val="28"/>
          <w:szCs w:val="28"/>
        </w:rPr>
      </w:pPr>
      <w:r w:rsidRPr="00E95AFA">
        <w:rPr>
          <w:rFonts w:ascii="仿宋" w:eastAsia="仿宋" w:hAnsi="仿宋" w:hint="eastAsia"/>
          <w:color w:val="000000"/>
          <w:sz w:val="28"/>
          <w:szCs w:val="28"/>
        </w:rPr>
        <w:t>3）具有良好的商业信誉和健全的财务会计制度：提供书面声明函。</w:t>
      </w:r>
    </w:p>
    <w:p w:rsidR="000C6340" w:rsidRPr="00E95AFA" w:rsidRDefault="00F376C7">
      <w:pPr>
        <w:adjustRightInd w:val="0"/>
        <w:ind w:firstLineChars="200" w:firstLine="560"/>
        <w:rPr>
          <w:rFonts w:ascii="仿宋" w:eastAsia="仿宋" w:hAnsi="仿宋"/>
          <w:color w:val="000000"/>
          <w:sz w:val="28"/>
          <w:szCs w:val="28"/>
        </w:rPr>
      </w:pPr>
      <w:r w:rsidRPr="00E95AFA">
        <w:rPr>
          <w:rFonts w:ascii="仿宋" w:eastAsia="仿宋" w:hAnsi="仿宋" w:hint="eastAsia"/>
          <w:color w:val="000000"/>
          <w:sz w:val="28"/>
          <w:szCs w:val="28"/>
        </w:rPr>
        <w:t>4）履行合同所必需的设备和专业技术能力：提供书面声明函。</w:t>
      </w:r>
    </w:p>
    <w:p w:rsidR="000C6340" w:rsidRPr="00E95AFA" w:rsidRDefault="00F376C7">
      <w:pPr>
        <w:adjustRightInd w:val="0"/>
        <w:ind w:firstLineChars="200" w:firstLine="560"/>
        <w:rPr>
          <w:rFonts w:ascii="仿宋" w:eastAsia="仿宋" w:hAnsi="仿宋"/>
          <w:color w:val="000000"/>
          <w:sz w:val="28"/>
          <w:szCs w:val="28"/>
        </w:rPr>
      </w:pPr>
      <w:r w:rsidRPr="00E95AFA">
        <w:rPr>
          <w:rFonts w:ascii="仿宋" w:eastAsia="仿宋" w:hAnsi="仿宋" w:hint="eastAsia"/>
          <w:color w:val="000000"/>
          <w:sz w:val="28"/>
          <w:szCs w:val="28"/>
        </w:rPr>
        <w:t>5）参加采购活动前3年内，在经营活动中没有重大违法记录：提供书面声明函。重大违法记录，是指供应商因违法经营受到刑事处罚或者责令停产停业、吊销许可证或者执照、较大数额罚款等行政处罚。（较大数额罚款按照发出行政处罚决定</w:t>
      </w:r>
      <w:proofErr w:type="gramStart"/>
      <w:r w:rsidRPr="00E95AFA">
        <w:rPr>
          <w:rFonts w:ascii="仿宋" w:eastAsia="仿宋" w:hAnsi="仿宋" w:hint="eastAsia"/>
          <w:color w:val="000000"/>
          <w:sz w:val="28"/>
          <w:szCs w:val="28"/>
        </w:rPr>
        <w:t>书部门</w:t>
      </w:r>
      <w:proofErr w:type="gramEnd"/>
      <w:r w:rsidRPr="00E95AFA">
        <w:rPr>
          <w:rFonts w:ascii="仿宋" w:eastAsia="仿宋" w:hAnsi="仿宋" w:hint="eastAsia"/>
          <w:color w:val="000000"/>
          <w:sz w:val="28"/>
          <w:szCs w:val="28"/>
        </w:rPr>
        <w:t>所在省级政府，或实行垂直领导的国务院有关行政主管部门制定的较大数额罚款标准，或罚款决定之前需要举行听证会的金额标准来认定）；</w:t>
      </w:r>
    </w:p>
    <w:p w:rsidR="000C6340" w:rsidRPr="00E95AFA" w:rsidRDefault="00F376C7">
      <w:pPr>
        <w:ind w:firstLineChars="200" w:firstLine="560"/>
        <w:rPr>
          <w:rFonts w:ascii="仿宋" w:eastAsia="仿宋" w:hAnsi="仿宋" w:cs="宋体"/>
          <w:sz w:val="28"/>
          <w:szCs w:val="28"/>
        </w:rPr>
      </w:pPr>
      <w:r w:rsidRPr="00E95AFA">
        <w:rPr>
          <w:rFonts w:ascii="仿宋" w:eastAsia="仿宋" w:hAnsi="仿宋" w:hint="eastAsia"/>
          <w:color w:val="000000"/>
          <w:sz w:val="28"/>
          <w:szCs w:val="28"/>
        </w:rPr>
        <w:t>2、</w:t>
      </w:r>
      <w:r w:rsidRPr="00E95AFA">
        <w:rPr>
          <w:rFonts w:ascii="仿宋" w:eastAsia="仿宋" w:hAnsi="仿宋" w:cs="宋体" w:hint="eastAsia"/>
          <w:sz w:val="28"/>
          <w:szCs w:val="28"/>
        </w:rPr>
        <w:t>供应商2020年1月1日至今承接过财政投资项目概算编制或审核的咨询服务项目。</w:t>
      </w:r>
    </w:p>
    <w:p w:rsidR="000C6340" w:rsidRPr="00E95AFA" w:rsidRDefault="00F376C7">
      <w:pPr>
        <w:pStyle w:val="8"/>
        <w:ind w:leftChars="0" w:left="0" w:firstLineChars="0"/>
        <w:rPr>
          <w:rFonts w:ascii="仿宋" w:eastAsia="仿宋" w:hAnsi="仿宋" w:cs="宋体"/>
          <w:b/>
          <w:sz w:val="28"/>
          <w:szCs w:val="28"/>
        </w:rPr>
      </w:pPr>
      <w:bookmarkStart w:id="2" w:name="_Toc262637522"/>
      <w:r w:rsidRPr="00E95AFA">
        <w:rPr>
          <w:rFonts w:ascii="仿宋" w:eastAsia="仿宋" w:hAnsi="仿宋" w:cs="宋体" w:hint="eastAsia"/>
          <w:b/>
          <w:sz w:val="28"/>
          <w:szCs w:val="28"/>
        </w:rPr>
        <w:t>六、成果交付、项目验收</w:t>
      </w:r>
      <w:bookmarkEnd w:id="2"/>
    </w:p>
    <w:p w:rsidR="000C6340" w:rsidRPr="00E95AFA" w:rsidRDefault="00F376C7">
      <w:pPr>
        <w:adjustRightInd w:val="0"/>
        <w:ind w:firstLineChars="200" w:firstLine="560"/>
        <w:rPr>
          <w:rFonts w:ascii="仿宋" w:eastAsia="仿宋" w:hAnsi="仿宋" w:cs="宋体"/>
          <w:sz w:val="28"/>
          <w:szCs w:val="28"/>
        </w:rPr>
      </w:pPr>
      <w:r w:rsidRPr="00E95AFA">
        <w:rPr>
          <w:rFonts w:ascii="仿宋" w:eastAsia="仿宋" w:hAnsi="仿宋" w:cs="宋体" w:hint="eastAsia"/>
          <w:sz w:val="28"/>
          <w:szCs w:val="28"/>
        </w:rPr>
        <w:lastRenderedPageBreak/>
        <w:t>1、成果文件内容须严格按照国家和省、市有关财政、财务、基建管理、工程造价的法规、政策文件的有关规定、以及采购人有关投资管控与造价管理的相关规定和对造价咨询成果文件的要求，本着合理、合</w:t>
      </w:r>
      <w:proofErr w:type="gramStart"/>
      <w:r w:rsidRPr="00E95AFA">
        <w:rPr>
          <w:rFonts w:ascii="仿宋" w:eastAsia="仿宋" w:hAnsi="仿宋" w:cs="宋体" w:hint="eastAsia"/>
          <w:sz w:val="28"/>
          <w:szCs w:val="28"/>
        </w:rPr>
        <w:t>规</w:t>
      </w:r>
      <w:proofErr w:type="gramEnd"/>
      <w:r w:rsidRPr="00E95AFA">
        <w:rPr>
          <w:rFonts w:ascii="仿宋" w:eastAsia="仿宋" w:hAnsi="仿宋" w:cs="宋体" w:hint="eastAsia"/>
          <w:sz w:val="28"/>
          <w:szCs w:val="28"/>
        </w:rPr>
        <w:t>节约投资的原则，客观、公正地开展财政投资项目造价咨询工作，按时保质保量提供造价咨询服务，对造价咨询成果的真实性、准确性、完整性、合法性、合理性负责，并负有保密责任。</w:t>
      </w:r>
    </w:p>
    <w:p w:rsidR="000C6340" w:rsidRPr="00E95AFA" w:rsidRDefault="00F376C7" w:rsidP="00EC5040">
      <w:pPr>
        <w:adjustRightInd w:val="0"/>
        <w:ind w:firstLineChars="200" w:firstLine="560"/>
        <w:rPr>
          <w:rFonts w:ascii="仿宋" w:eastAsia="仿宋" w:hAnsi="仿宋" w:cs="宋体"/>
          <w:sz w:val="28"/>
          <w:szCs w:val="28"/>
        </w:rPr>
      </w:pPr>
      <w:r w:rsidRPr="00EC5040">
        <w:rPr>
          <w:rFonts w:ascii="仿宋" w:eastAsia="仿宋" w:hAnsi="仿宋" w:cs="宋体" w:hint="eastAsia"/>
          <w:sz w:val="28"/>
          <w:szCs w:val="28"/>
        </w:rPr>
        <w:t>2、</w:t>
      </w:r>
      <w:r w:rsidRPr="00E95AFA">
        <w:rPr>
          <w:rFonts w:ascii="仿宋" w:eastAsia="仿宋" w:hAnsi="仿宋" w:cs="宋体" w:hint="eastAsia"/>
          <w:sz w:val="28"/>
          <w:szCs w:val="28"/>
        </w:rPr>
        <w:t>成交供应商需根据概算评审及报批需要向采购人提交足够数量的项目报审材料，包括文本文件及相应的计算机文件等。</w:t>
      </w:r>
    </w:p>
    <w:p w:rsidR="000C6340" w:rsidRPr="00E95AFA" w:rsidRDefault="00F376C7" w:rsidP="00EC5040">
      <w:pPr>
        <w:adjustRightInd w:val="0"/>
        <w:ind w:firstLineChars="200" w:firstLine="560"/>
        <w:rPr>
          <w:rFonts w:ascii="仿宋" w:eastAsia="仿宋" w:hAnsi="仿宋" w:cs="宋体"/>
          <w:sz w:val="28"/>
          <w:szCs w:val="28"/>
        </w:rPr>
      </w:pPr>
      <w:r w:rsidRPr="00E95AFA">
        <w:rPr>
          <w:rFonts w:ascii="仿宋" w:eastAsia="仿宋" w:hAnsi="仿宋" w:cs="宋体" w:hint="eastAsia"/>
          <w:sz w:val="28"/>
          <w:szCs w:val="28"/>
        </w:rPr>
        <w:t>3、成交供应商应在完成服务项目后向采购人提交项目成果</w:t>
      </w:r>
      <w:r w:rsidR="00D24DC5">
        <w:rPr>
          <w:rFonts w:ascii="仿宋" w:eastAsia="仿宋" w:hAnsi="仿宋" w:cs="宋体" w:hint="eastAsia"/>
          <w:sz w:val="28"/>
          <w:szCs w:val="28"/>
        </w:rPr>
        <w:t>一式</w:t>
      </w:r>
      <w:r w:rsidRPr="00E95AFA">
        <w:rPr>
          <w:rFonts w:ascii="仿宋" w:eastAsia="仿宋" w:hAnsi="仿宋" w:cs="宋体" w:hint="eastAsia"/>
          <w:sz w:val="28"/>
          <w:szCs w:val="28"/>
        </w:rPr>
        <w:t>6份书面概算报告，成果包括文本文件、相关纸质材料，以及相应的计算机电子文件一式一份。</w:t>
      </w:r>
    </w:p>
    <w:p w:rsidR="000C6340" w:rsidRPr="00E95AFA" w:rsidRDefault="00F376C7" w:rsidP="00EC5040">
      <w:pPr>
        <w:adjustRightInd w:val="0"/>
        <w:ind w:firstLineChars="200" w:firstLine="560"/>
        <w:rPr>
          <w:rFonts w:ascii="仿宋" w:eastAsia="仿宋" w:hAnsi="仿宋" w:cs="宋体"/>
          <w:sz w:val="28"/>
          <w:szCs w:val="28"/>
        </w:rPr>
      </w:pPr>
      <w:r w:rsidRPr="00E95AFA">
        <w:rPr>
          <w:rFonts w:ascii="仿宋" w:eastAsia="仿宋" w:hAnsi="仿宋" w:cs="宋体" w:hint="eastAsia"/>
          <w:sz w:val="28"/>
          <w:szCs w:val="28"/>
        </w:rPr>
        <w:t>4、项目总实施（包括项目成果评审）以项目最终成果报告获得政府主管部门批准/批复同意为最终完成标志。</w:t>
      </w:r>
    </w:p>
    <w:p w:rsidR="000C6340" w:rsidRPr="00E95AFA" w:rsidRDefault="00F376C7">
      <w:pPr>
        <w:pStyle w:val="Bodytext1"/>
        <w:tabs>
          <w:tab w:val="left" w:pos="531"/>
        </w:tabs>
        <w:spacing w:line="483" w:lineRule="exact"/>
        <w:ind w:firstLineChars="0" w:firstLine="0"/>
        <w:rPr>
          <w:rFonts w:ascii="仿宋" w:eastAsia="仿宋" w:hAnsi="仿宋" w:cs="仿宋"/>
          <w:b/>
          <w:bCs/>
          <w:sz w:val="28"/>
          <w:szCs w:val="28"/>
        </w:rPr>
      </w:pPr>
      <w:r w:rsidRPr="00E95AFA">
        <w:rPr>
          <w:rFonts w:ascii="仿宋" w:eastAsia="仿宋" w:hAnsi="仿宋" w:cs="仿宋" w:hint="eastAsia"/>
          <w:b/>
          <w:bCs/>
          <w:sz w:val="28"/>
          <w:szCs w:val="28"/>
          <w:lang w:eastAsia="zh-CN"/>
        </w:rPr>
        <w:t>七、</w:t>
      </w:r>
      <w:r w:rsidRPr="00E95AFA">
        <w:rPr>
          <w:rFonts w:ascii="仿宋" w:eastAsia="仿宋" w:hAnsi="仿宋" w:cs="仿宋" w:hint="eastAsia"/>
          <w:b/>
          <w:bCs/>
          <w:sz w:val="28"/>
          <w:szCs w:val="28"/>
        </w:rPr>
        <w:t>报价文件编制要求</w:t>
      </w:r>
    </w:p>
    <w:p w:rsidR="000C6340" w:rsidRPr="00E95AFA" w:rsidRDefault="00F376C7" w:rsidP="007F4A4D">
      <w:pPr>
        <w:adjustRightInd w:val="0"/>
        <w:ind w:firstLineChars="202" w:firstLine="566"/>
        <w:rPr>
          <w:rFonts w:ascii="仿宋" w:eastAsia="仿宋" w:hAnsi="仿宋" w:cs="宋体"/>
          <w:sz w:val="28"/>
          <w:szCs w:val="28"/>
        </w:rPr>
      </w:pPr>
      <w:r w:rsidRPr="00E95AFA">
        <w:rPr>
          <w:rFonts w:ascii="仿宋" w:eastAsia="仿宋" w:hAnsi="仿宋" w:cs="宋体" w:hint="eastAsia"/>
          <w:sz w:val="28"/>
          <w:szCs w:val="28"/>
        </w:rPr>
        <w:t>1、所有复印件（企业营业执照、资质文件、项目负责人职称等）需加盖公章；</w:t>
      </w:r>
    </w:p>
    <w:p w:rsidR="000C6340" w:rsidRPr="00E95AFA" w:rsidRDefault="00F376C7">
      <w:pPr>
        <w:adjustRightInd w:val="0"/>
        <w:ind w:firstLineChars="202" w:firstLine="566"/>
        <w:rPr>
          <w:rFonts w:ascii="仿宋" w:eastAsia="仿宋" w:hAnsi="仿宋" w:cs="宋体"/>
          <w:sz w:val="28"/>
          <w:szCs w:val="28"/>
        </w:rPr>
      </w:pPr>
      <w:r w:rsidRPr="00E95AFA">
        <w:rPr>
          <w:rFonts w:ascii="仿宋" w:eastAsia="仿宋" w:hAnsi="仿宋" w:cs="宋体" w:hint="eastAsia"/>
          <w:sz w:val="28"/>
          <w:szCs w:val="28"/>
        </w:rPr>
        <w:t>2</w:t>
      </w:r>
      <w:r w:rsidR="000A4BE5">
        <w:rPr>
          <w:rFonts w:ascii="仿宋" w:eastAsia="仿宋" w:hAnsi="仿宋" w:cs="宋体" w:hint="eastAsia"/>
          <w:sz w:val="28"/>
          <w:szCs w:val="28"/>
        </w:rPr>
        <w:t>、单位业绩证明（需提供中标书或委托书</w:t>
      </w:r>
      <w:r w:rsidRPr="00E95AFA">
        <w:rPr>
          <w:rFonts w:ascii="仿宋" w:eastAsia="仿宋" w:hAnsi="仿宋" w:cs="宋体" w:hint="eastAsia"/>
          <w:sz w:val="28"/>
          <w:szCs w:val="28"/>
        </w:rPr>
        <w:t>、合同等证明复印件）；</w:t>
      </w:r>
    </w:p>
    <w:p w:rsidR="000C6340" w:rsidRPr="00E95AFA" w:rsidRDefault="00F376C7">
      <w:pPr>
        <w:adjustRightInd w:val="0"/>
        <w:ind w:firstLineChars="202" w:firstLine="566"/>
        <w:rPr>
          <w:rFonts w:ascii="仿宋" w:eastAsia="仿宋" w:hAnsi="仿宋" w:cs="宋体"/>
          <w:sz w:val="28"/>
          <w:szCs w:val="28"/>
        </w:rPr>
      </w:pPr>
      <w:r w:rsidRPr="00E95AFA">
        <w:rPr>
          <w:rFonts w:ascii="仿宋" w:eastAsia="仿宋" w:hAnsi="仿宋" w:cs="宋体" w:hint="eastAsia"/>
          <w:sz w:val="28"/>
          <w:szCs w:val="28"/>
        </w:rPr>
        <w:t>3、供应</w:t>
      </w:r>
      <w:proofErr w:type="gramStart"/>
      <w:r w:rsidRPr="00E95AFA">
        <w:rPr>
          <w:rFonts w:ascii="仿宋" w:eastAsia="仿宋" w:hAnsi="仿宋" w:cs="宋体" w:hint="eastAsia"/>
          <w:sz w:val="28"/>
          <w:szCs w:val="28"/>
        </w:rPr>
        <w:t>商服务</w:t>
      </w:r>
      <w:proofErr w:type="gramEnd"/>
      <w:r w:rsidRPr="00E95AFA">
        <w:rPr>
          <w:rFonts w:ascii="仿宋" w:eastAsia="仿宋" w:hAnsi="仿宋" w:cs="宋体" w:hint="eastAsia"/>
          <w:sz w:val="28"/>
          <w:szCs w:val="28"/>
        </w:rPr>
        <w:t>报价表；</w:t>
      </w:r>
    </w:p>
    <w:p w:rsidR="000C6340" w:rsidRDefault="00F376C7">
      <w:pPr>
        <w:ind w:firstLineChars="200" w:firstLine="560"/>
        <w:rPr>
          <w:rFonts w:ascii="仿宋" w:eastAsia="仿宋" w:hAnsi="仿宋" w:cs="宋体"/>
          <w:sz w:val="28"/>
          <w:szCs w:val="28"/>
        </w:rPr>
      </w:pPr>
      <w:r w:rsidRPr="00E95AFA">
        <w:rPr>
          <w:rFonts w:ascii="仿宋" w:eastAsia="仿宋" w:hAnsi="仿宋" w:cs="宋体" w:hint="eastAsia"/>
          <w:sz w:val="28"/>
          <w:szCs w:val="28"/>
        </w:rPr>
        <w:t>4、供应商认为有必要提交的其它资料或需要说明的其它问题。</w:t>
      </w:r>
    </w:p>
    <w:sectPr w:rsidR="000C6340">
      <w:pgSz w:w="11906" w:h="16838"/>
      <w:pgMar w:top="1440" w:right="128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45" w:rsidRDefault="009E0B45" w:rsidP="006F7E75">
      <w:r>
        <w:separator/>
      </w:r>
    </w:p>
  </w:endnote>
  <w:endnote w:type="continuationSeparator" w:id="0">
    <w:p w:rsidR="009E0B45" w:rsidRDefault="009E0B45" w:rsidP="006F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45" w:rsidRDefault="009E0B45" w:rsidP="006F7E75">
      <w:r>
        <w:separator/>
      </w:r>
    </w:p>
  </w:footnote>
  <w:footnote w:type="continuationSeparator" w:id="0">
    <w:p w:rsidR="009E0B45" w:rsidRDefault="009E0B45" w:rsidP="006F7E7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荣">
    <w15:presenceInfo w15:providerId="WPS Office" w15:userId="1885649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WZlMTJhYjAwZmRmOTlkODVhNDZkM2ZmMjZhZjcifQ=="/>
  </w:docVars>
  <w:rsids>
    <w:rsidRoot w:val="1CBB529D"/>
    <w:rsid w:val="00034093"/>
    <w:rsid w:val="000A4BE5"/>
    <w:rsid w:val="000C6340"/>
    <w:rsid w:val="00274F38"/>
    <w:rsid w:val="004A4CC9"/>
    <w:rsid w:val="005959DB"/>
    <w:rsid w:val="005B0047"/>
    <w:rsid w:val="00664D48"/>
    <w:rsid w:val="006D37CA"/>
    <w:rsid w:val="006F7E75"/>
    <w:rsid w:val="007E4593"/>
    <w:rsid w:val="007E58A5"/>
    <w:rsid w:val="007F4A4D"/>
    <w:rsid w:val="009E0B45"/>
    <w:rsid w:val="00A17BE1"/>
    <w:rsid w:val="00A22415"/>
    <w:rsid w:val="00AA7839"/>
    <w:rsid w:val="00AD1E56"/>
    <w:rsid w:val="00D24DC5"/>
    <w:rsid w:val="00D5492C"/>
    <w:rsid w:val="00E95AFA"/>
    <w:rsid w:val="00EC5040"/>
    <w:rsid w:val="00F376C7"/>
    <w:rsid w:val="1CBB529D"/>
    <w:rsid w:val="2B520958"/>
    <w:rsid w:val="32DD01EE"/>
    <w:rsid w:val="37B409D1"/>
    <w:rsid w:val="5ADE798F"/>
    <w:rsid w:val="617C24E4"/>
    <w:rsid w:val="632856C5"/>
    <w:rsid w:val="65B1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spacing w:line="360" w:lineRule="auto"/>
      <w:ind w:leftChars="1400" w:left="1400" w:firstLineChars="200" w:firstLine="200"/>
    </w:pPr>
    <w:rPr>
      <w:rFonts w:ascii="Times New Roman" w:eastAsia="宋体" w:hAnsi="Times New Roman" w:cs="Times New Roman"/>
      <w:szCs w:val="22"/>
    </w:rPr>
  </w:style>
  <w:style w:type="paragraph" w:styleId="a3">
    <w:name w:val="Normal Indent"/>
    <w:basedOn w:val="a"/>
    <w:next w:val="8"/>
    <w:link w:val="Char"/>
    <w:qFormat/>
    <w:pPr>
      <w:widowControl/>
      <w:spacing w:line="360" w:lineRule="auto"/>
      <w:ind w:firstLine="420"/>
      <w:jc w:val="left"/>
    </w:pPr>
    <w:rPr>
      <w:rFonts w:ascii="宋体"/>
      <w:kern w:val="0"/>
      <w:szCs w:val="20"/>
    </w:rPr>
  </w:style>
  <w:style w:type="paragraph" w:styleId="a4">
    <w:name w:val="List Paragraph"/>
    <w:basedOn w:val="a"/>
    <w:uiPriority w:val="99"/>
    <w:unhideWhenUsed/>
    <w:qFormat/>
    <w:pPr>
      <w:ind w:firstLineChars="200" w:firstLine="420"/>
    </w:pPr>
  </w:style>
  <w:style w:type="paragraph" w:customStyle="1" w:styleId="a5">
    <w:name w:val="表格表头"/>
    <w:basedOn w:val="a"/>
    <w:qFormat/>
    <w:rPr>
      <w:rFonts w:ascii="黑体" w:eastAsia="黑体" w:hAnsi="黑体" w:cs="Times New Roman"/>
      <w:b/>
      <w:snapToGrid w:val="0"/>
      <w:sz w:val="24"/>
    </w:rPr>
  </w:style>
  <w:style w:type="paragraph" w:customStyle="1" w:styleId="Bodytext1">
    <w:name w:val="Body text|1"/>
    <w:basedOn w:val="a"/>
    <w:qFormat/>
    <w:pPr>
      <w:spacing w:line="422" w:lineRule="auto"/>
      <w:ind w:firstLineChars="200" w:firstLine="400"/>
    </w:pPr>
    <w:rPr>
      <w:rFonts w:ascii="MingLiU" w:eastAsia="MingLiU" w:hAnsi="MingLiU" w:cs="MingLiU"/>
      <w:sz w:val="22"/>
      <w:szCs w:val="22"/>
      <w:lang w:val="zh-TW" w:eastAsia="zh-TW" w:bidi="zh-TW"/>
    </w:rPr>
  </w:style>
  <w:style w:type="character" w:customStyle="1" w:styleId="Char">
    <w:name w:val="正文缩进 Char"/>
    <w:link w:val="a3"/>
    <w:rPr>
      <w:rFonts w:ascii="宋体"/>
      <w:sz w:val="21"/>
    </w:rPr>
  </w:style>
  <w:style w:type="paragraph" w:styleId="a6">
    <w:name w:val="Balloon Text"/>
    <w:basedOn w:val="a"/>
    <w:link w:val="Char0"/>
    <w:rsid w:val="007F4A4D"/>
    <w:rPr>
      <w:sz w:val="18"/>
      <w:szCs w:val="18"/>
    </w:rPr>
  </w:style>
  <w:style w:type="character" w:customStyle="1" w:styleId="Char0">
    <w:name w:val="批注框文本 Char"/>
    <w:basedOn w:val="a0"/>
    <w:link w:val="a6"/>
    <w:rsid w:val="007F4A4D"/>
    <w:rPr>
      <w:kern w:val="2"/>
      <w:sz w:val="18"/>
      <w:szCs w:val="18"/>
    </w:rPr>
  </w:style>
  <w:style w:type="paragraph" w:styleId="a7">
    <w:name w:val="header"/>
    <w:basedOn w:val="a"/>
    <w:link w:val="Char1"/>
    <w:rsid w:val="006F7E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6F7E75"/>
    <w:rPr>
      <w:kern w:val="2"/>
      <w:sz w:val="18"/>
      <w:szCs w:val="18"/>
    </w:rPr>
  </w:style>
  <w:style w:type="paragraph" w:styleId="a8">
    <w:name w:val="footer"/>
    <w:basedOn w:val="a"/>
    <w:link w:val="Char2"/>
    <w:rsid w:val="006F7E75"/>
    <w:pPr>
      <w:tabs>
        <w:tab w:val="center" w:pos="4153"/>
        <w:tab w:val="right" w:pos="8306"/>
      </w:tabs>
      <w:snapToGrid w:val="0"/>
      <w:jc w:val="left"/>
    </w:pPr>
    <w:rPr>
      <w:sz w:val="18"/>
      <w:szCs w:val="18"/>
    </w:rPr>
  </w:style>
  <w:style w:type="character" w:customStyle="1" w:styleId="Char2">
    <w:name w:val="页脚 Char"/>
    <w:basedOn w:val="a0"/>
    <w:link w:val="a8"/>
    <w:rsid w:val="006F7E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spacing w:line="360" w:lineRule="auto"/>
      <w:ind w:leftChars="1400" w:left="1400" w:firstLineChars="200" w:firstLine="200"/>
    </w:pPr>
    <w:rPr>
      <w:rFonts w:ascii="Times New Roman" w:eastAsia="宋体" w:hAnsi="Times New Roman" w:cs="Times New Roman"/>
      <w:szCs w:val="22"/>
    </w:rPr>
  </w:style>
  <w:style w:type="paragraph" w:styleId="a3">
    <w:name w:val="Normal Indent"/>
    <w:basedOn w:val="a"/>
    <w:next w:val="8"/>
    <w:link w:val="Char"/>
    <w:qFormat/>
    <w:pPr>
      <w:widowControl/>
      <w:spacing w:line="360" w:lineRule="auto"/>
      <w:ind w:firstLine="420"/>
      <w:jc w:val="left"/>
    </w:pPr>
    <w:rPr>
      <w:rFonts w:ascii="宋体"/>
      <w:kern w:val="0"/>
      <w:szCs w:val="20"/>
    </w:rPr>
  </w:style>
  <w:style w:type="paragraph" w:styleId="a4">
    <w:name w:val="List Paragraph"/>
    <w:basedOn w:val="a"/>
    <w:uiPriority w:val="99"/>
    <w:unhideWhenUsed/>
    <w:qFormat/>
    <w:pPr>
      <w:ind w:firstLineChars="200" w:firstLine="420"/>
    </w:pPr>
  </w:style>
  <w:style w:type="paragraph" w:customStyle="1" w:styleId="a5">
    <w:name w:val="表格表头"/>
    <w:basedOn w:val="a"/>
    <w:qFormat/>
    <w:rPr>
      <w:rFonts w:ascii="黑体" w:eastAsia="黑体" w:hAnsi="黑体" w:cs="Times New Roman"/>
      <w:b/>
      <w:snapToGrid w:val="0"/>
      <w:sz w:val="24"/>
    </w:rPr>
  </w:style>
  <w:style w:type="paragraph" w:customStyle="1" w:styleId="Bodytext1">
    <w:name w:val="Body text|1"/>
    <w:basedOn w:val="a"/>
    <w:qFormat/>
    <w:pPr>
      <w:spacing w:line="422" w:lineRule="auto"/>
      <w:ind w:firstLineChars="200" w:firstLine="400"/>
    </w:pPr>
    <w:rPr>
      <w:rFonts w:ascii="MingLiU" w:eastAsia="MingLiU" w:hAnsi="MingLiU" w:cs="MingLiU"/>
      <w:sz w:val="22"/>
      <w:szCs w:val="22"/>
      <w:lang w:val="zh-TW" w:eastAsia="zh-TW" w:bidi="zh-TW"/>
    </w:rPr>
  </w:style>
  <w:style w:type="character" w:customStyle="1" w:styleId="Char">
    <w:name w:val="正文缩进 Char"/>
    <w:link w:val="a3"/>
    <w:rPr>
      <w:rFonts w:ascii="宋体"/>
      <w:sz w:val="21"/>
    </w:rPr>
  </w:style>
  <w:style w:type="paragraph" w:styleId="a6">
    <w:name w:val="Balloon Text"/>
    <w:basedOn w:val="a"/>
    <w:link w:val="Char0"/>
    <w:rsid w:val="007F4A4D"/>
    <w:rPr>
      <w:sz w:val="18"/>
      <w:szCs w:val="18"/>
    </w:rPr>
  </w:style>
  <w:style w:type="character" w:customStyle="1" w:styleId="Char0">
    <w:name w:val="批注框文本 Char"/>
    <w:basedOn w:val="a0"/>
    <w:link w:val="a6"/>
    <w:rsid w:val="007F4A4D"/>
    <w:rPr>
      <w:kern w:val="2"/>
      <w:sz w:val="18"/>
      <w:szCs w:val="18"/>
    </w:rPr>
  </w:style>
  <w:style w:type="paragraph" w:styleId="a7">
    <w:name w:val="header"/>
    <w:basedOn w:val="a"/>
    <w:link w:val="Char1"/>
    <w:rsid w:val="006F7E7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rsid w:val="006F7E75"/>
    <w:rPr>
      <w:kern w:val="2"/>
      <w:sz w:val="18"/>
      <w:szCs w:val="18"/>
    </w:rPr>
  </w:style>
  <w:style w:type="paragraph" w:styleId="a8">
    <w:name w:val="footer"/>
    <w:basedOn w:val="a"/>
    <w:link w:val="Char2"/>
    <w:rsid w:val="006F7E75"/>
    <w:pPr>
      <w:tabs>
        <w:tab w:val="center" w:pos="4153"/>
        <w:tab w:val="right" w:pos="8306"/>
      </w:tabs>
      <w:snapToGrid w:val="0"/>
      <w:jc w:val="left"/>
    </w:pPr>
    <w:rPr>
      <w:sz w:val="18"/>
      <w:szCs w:val="18"/>
    </w:rPr>
  </w:style>
  <w:style w:type="character" w:customStyle="1" w:styleId="Char2">
    <w:name w:val="页脚 Char"/>
    <w:basedOn w:val="a0"/>
    <w:link w:val="a8"/>
    <w:rsid w:val="006F7E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1001</Words>
  <Characters>1182</Characters>
  <Application>Microsoft Office Word</Application>
  <DocSecurity>0</DocSecurity>
  <Lines>90</Lines>
  <Paragraphs>70</Paragraphs>
  <ScaleCrop>false</ScaleCrop>
  <Company>神州网信技术有限公司</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liangjunwei-530</cp:lastModifiedBy>
  <cp:revision>7</cp:revision>
  <dcterms:created xsi:type="dcterms:W3CDTF">2023-08-24T02:35:00Z</dcterms:created>
  <dcterms:modified xsi:type="dcterms:W3CDTF">2023-08-24T06:36:00Z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0DE10E128E0E42A1A66511AFA2BA8E6B</vt:lpwstr>
  </property>
</Properties>
</file>