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413415657"/>
      <w:r>
        <w:t>用户需求书</w:t>
      </w:r>
      <w:bookmarkEnd w:id="0"/>
    </w:p>
    <w:p>
      <w:pPr>
        <w:spacing w:line="360" w:lineRule="auto"/>
        <w:ind w:firstLine="420" w:firstLineChars="200"/>
        <w:rPr>
          <w:rFonts w:ascii="Times New Roman"/>
          <w:sz w:val="21"/>
          <w:szCs w:val="21"/>
        </w:rPr>
      </w:pPr>
      <w:bookmarkStart w:id="1" w:name="OLE_LINK17"/>
    </w:p>
    <w:p>
      <w:pPr>
        <w:spacing w:line="360" w:lineRule="auto"/>
        <w:rPr>
          <w:rFonts w:ascii="Times New Roman"/>
          <w:szCs w:val="21"/>
          <w:lang w:val="zh-CN"/>
        </w:rPr>
      </w:pPr>
      <w:r>
        <w:rPr>
          <w:rFonts w:ascii="Times New Roman"/>
          <w:b/>
          <w:bCs/>
          <w:szCs w:val="21"/>
          <w:lang w:val="zh-CN"/>
        </w:rPr>
        <w:t>采购项目名称：</w:t>
      </w:r>
      <w:bookmarkStart w:id="15" w:name="_GoBack"/>
      <w:r>
        <w:rPr>
          <w:rFonts w:hint="eastAsia" w:ascii="Times New Roman"/>
          <w:szCs w:val="21"/>
          <w:lang w:val="zh-CN"/>
        </w:rPr>
        <w:t>交流中心及主楼2号安检区设备升级改造项目</w:t>
      </w:r>
      <w:bookmarkEnd w:id="15"/>
    </w:p>
    <w:p>
      <w:pPr>
        <w:spacing w:line="360" w:lineRule="auto"/>
        <w:rPr>
          <w:rFonts w:ascii="Times New Roman"/>
          <w:szCs w:val="21"/>
          <w:lang w:val="zh-CN"/>
        </w:rPr>
      </w:pPr>
      <w:r>
        <w:rPr>
          <w:rFonts w:hint="eastAsia" w:ascii="Times New Roman"/>
          <w:szCs w:val="21"/>
          <w:lang w:val="zh-CN"/>
        </w:rPr>
        <w:t>本《用户需求书》中标注有“★”的条款必须实质性响应，负偏离（不满足要求）将导致报价无效</w:t>
      </w:r>
    </w:p>
    <w:bookmarkEnd w:id="1"/>
    <w:p>
      <w:pPr>
        <w:spacing w:line="360" w:lineRule="auto"/>
        <w:rPr>
          <w:rFonts w:ascii="Times New Roman"/>
          <w:szCs w:val="21"/>
          <w:lang w:val="zh-CN"/>
        </w:rPr>
      </w:pPr>
      <w:bookmarkStart w:id="2" w:name="_Toc396226562"/>
      <w:r>
        <w:rPr>
          <w:rFonts w:hint="eastAsia" w:ascii="Times New Roman"/>
          <w:szCs w:val="21"/>
          <w:lang w:val="zh-CN"/>
        </w:rPr>
        <w:t>★根据粤府令第238号《广东省安全技术防范管理实施办法》要求第二章第九条、第五章第四十条等相关规定，本项目中安装的设备均需符合技防标准的技防产品或技防系统，本项目要求参加报价的单位需具有《广东省安全技术防范系统设计、施工、维修资格证》三级（或以上）资质证书（如在外省获得省级或以上部门颁发的《安全技术防范系统设计、施工、维修资格证》三级（或以上）资质证书的需同时提供在广东省备案的证明文件）。</w:t>
      </w:r>
    </w:p>
    <w:p>
      <w:pPr>
        <w:rPr>
          <w:rFonts w:ascii="Times New Roman"/>
        </w:rPr>
      </w:pPr>
    </w:p>
    <w:p>
      <w:pPr>
        <w:pStyle w:val="2"/>
      </w:pPr>
      <w:r>
        <w:t>技术部分</w:t>
      </w:r>
    </w:p>
    <w:p>
      <w:pPr>
        <w:pStyle w:val="3"/>
      </w:pPr>
      <w:r>
        <w:t>一、</w:t>
      </w:r>
      <w:bookmarkStart w:id="3" w:name="_Toc45048052"/>
      <w:r>
        <w:t>项目背景</w:t>
      </w:r>
    </w:p>
    <w:p>
      <w:pPr>
        <w:spacing w:line="360" w:lineRule="auto"/>
        <w:ind w:firstLine="480" w:firstLineChars="200"/>
        <w:jc w:val="both"/>
      </w:pPr>
      <w:r>
        <w:rPr>
          <w:rFonts w:hint="eastAsia"/>
        </w:rPr>
        <w:t>广东科学中心作为人员聚集的重要场所，人员众多且复杂，对进入的人员都需要进行详细的随身物品检查，防止进入的人员携带武器、匕首、管制刀具、雷管、炸药等违禁品。主楼2号安检区原有一套X光安检机及两个安检门，工作人员在X光安检机操作台检查进入人员随身行李，人流量大时游客无法快速通行，导致安检效率十分不高。原有安检区信号信息未回传监控中心，未能实现统一安防管理指挥部署。</w:t>
      </w:r>
    </w:p>
    <w:p>
      <w:pPr>
        <w:spacing w:line="360" w:lineRule="auto"/>
        <w:ind w:firstLine="480" w:firstLineChars="200"/>
        <w:jc w:val="both"/>
        <w:rPr>
          <w:rFonts w:ascii="Times New Roman"/>
        </w:rPr>
      </w:pPr>
      <w:r>
        <w:rPr>
          <w:rFonts w:hint="eastAsia"/>
        </w:rPr>
        <w:t>本次升级改造方案旨在为广东科学中心提供智能化安全检查系统，并将安检相关信号信息回传到监控中心，以便统一的安全防范管理及调度，提高安全检查效率和安全防护能力，并进一步提升游客游玩体验。</w:t>
      </w:r>
    </w:p>
    <w:p>
      <w:pPr>
        <w:pStyle w:val="4"/>
      </w:pPr>
      <w:bookmarkStart w:id="4" w:name="_Toc44616013"/>
      <w:r>
        <w:t>1.1 建设范围</w:t>
      </w:r>
    </w:p>
    <w:p>
      <w:pPr>
        <w:pStyle w:val="37"/>
        <w:ind w:firstLine="480"/>
      </w:pPr>
      <w:r>
        <w:rPr>
          <w:rFonts w:hint="eastAsia"/>
        </w:rPr>
        <w:t>升级交流中心及主楼2号安检区的安防设备。计划为主楼2号安检区原有X光安检机加装智能分析仪，替换2套智能安检门；交流中心新增1套小型智能X光安检机，配备1套便携式安检门。将交流中心及主楼2号安检区通过传输媒介把信号信息回传到监控中心，通过在机房侧接入安防服务器，并通过在原有综合管理平台上新增1套安检区管理模块，实现统一的安全防范管理及调度。</w:t>
      </w:r>
    </w:p>
    <w:p>
      <w:pPr>
        <w:pStyle w:val="4"/>
      </w:pPr>
      <w:r>
        <w:t xml:space="preserve">1.2 </w:t>
      </w:r>
      <w:r>
        <w:rPr>
          <w:rFonts w:hint="eastAsia"/>
        </w:rPr>
        <w:t>项目</w:t>
      </w:r>
      <w:bookmarkEnd w:id="4"/>
      <w:bookmarkStart w:id="5" w:name="_Hlk23445009"/>
      <w:r>
        <w:t>概况</w:t>
      </w:r>
    </w:p>
    <w:p>
      <w:pPr>
        <w:pStyle w:val="5"/>
        <w:rPr>
          <w:rFonts w:ascii="Times New Roman" w:hAnsi="Times New Roman"/>
          <w:szCs w:val="24"/>
        </w:rPr>
      </w:pPr>
      <w:r>
        <w:rPr>
          <w:rFonts w:ascii="Times New Roman" w:hAnsi="Times New Roman"/>
          <w:szCs w:val="24"/>
        </w:rPr>
        <w:t xml:space="preserve">1.2.1 </w:t>
      </w:r>
      <w:r>
        <w:rPr>
          <w:rFonts w:ascii="Times New Roman"/>
          <w:szCs w:val="24"/>
          <w:lang w:val="zh-CN"/>
        </w:rPr>
        <w:t>项目内容</w:t>
      </w:r>
    </w:p>
    <w:bookmarkEnd w:id="3"/>
    <w:bookmarkEnd w:id="5"/>
    <w:p>
      <w:pPr>
        <w:pStyle w:val="37"/>
        <w:ind w:firstLine="480"/>
      </w:pPr>
      <w:bookmarkStart w:id="6" w:name="_Toc45048053"/>
      <w:r>
        <w:rPr>
          <w:rFonts w:hint="eastAsia"/>
        </w:rPr>
        <w:t>广东科学中心为大型综合性科普场馆，参照GA27《文物系统博物馆风险等级和安全防护级别的规定》、GB/T16571-2012《博物馆和文物保护单位安全防范系统要求》和粤府令第238号《广东省安全技术防范管理实施办法》等相关规定，采购符合技防标准的技防产品或者技防系统，运用技防产品和技防系统等技术手段，预防、发现、制止违法犯罪，维护社会秩序和公共安全的活动，为广东科学中心提供安全可靠的防护能力。</w:t>
      </w:r>
    </w:p>
    <w:p>
      <w:pPr>
        <w:pStyle w:val="37"/>
        <w:ind w:firstLine="480"/>
      </w:pPr>
      <w:r>
        <w:rPr>
          <w:rFonts w:hint="eastAsia"/>
        </w:rPr>
        <w:t>广东科学中心本次改造升级交流中心及主楼2号安检区的安防设备。计划为主楼2号安检区原有X光安检机加装智能分析仪，替换2套智能安检门；交流中心新增1套小型智能X光安检机，配备1套便携式安检门。升级后，能够通过智能图像识别快速检测出武器、匕首、管制刀具、雷管、炸药等违禁品，提高检测效率及降低漏检率。整体提升安检效率，提高中心的安防能力。</w:t>
      </w:r>
    </w:p>
    <w:p>
      <w:pPr>
        <w:pStyle w:val="5"/>
        <w:rPr>
          <w:rFonts w:ascii="Times New Roman" w:hAnsi="Times New Roman"/>
          <w:szCs w:val="24"/>
        </w:rPr>
      </w:pPr>
      <w:r>
        <w:rPr>
          <w:rFonts w:ascii="Times New Roman" w:hAnsi="Times New Roman"/>
          <w:szCs w:val="24"/>
        </w:rPr>
        <w:t>1.</w:t>
      </w:r>
      <w:r>
        <w:rPr>
          <w:rFonts w:hint="eastAsia" w:ascii="Times New Roman" w:hAnsi="Times New Roman"/>
          <w:szCs w:val="24"/>
        </w:rPr>
        <w:t>2.1</w:t>
      </w:r>
      <w:r>
        <w:rPr>
          <w:rFonts w:ascii="Times New Roman" w:hAnsi="Times New Roman"/>
          <w:szCs w:val="24"/>
        </w:rPr>
        <w:t xml:space="preserve"> </w:t>
      </w:r>
      <w:bookmarkEnd w:id="6"/>
      <w:r>
        <w:rPr>
          <w:rFonts w:hint="eastAsia" w:ascii="Times New Roman" w:hAnsi="Times New Roman"/>
          <w:szCs w:val="24"/>
        </w:rPr>
        <w:t>系统概述</w:t>
      </w:r>
    </w:p>
    <w:p>
      <w:pPr>
        <w:pStyle w:val="37"/>
        <w:ind w:firstLine="480"/>
      </w:pPr>
      <w:r>
        <w:rPr>
          <w:rFonts w:hint="eastAsia"/>
        </w:rPr>
        <w:t>智能化安全检查系统由安检智能分析仪、智能安检机和智能安检门组成。</w:t>
      </w:r>
    </w:p>
    <w:p>
      <w:pPr>
        <w:pStyle w:val="37"/>
        <w:ind w:firstLine="480"/>
      </w:pPr>
      <w:r>
        <w:rPr>
          <w:rFonts w:hint="eastAsia"/>
        </w:rPr>
        <w:t>传统X光安检机图像的判别依赖人工，判图识别率低，且无法有效识别X光图像中的违禁品，对于疑似物品需要开包再查，耗时耗力。对于安检员来说，长时间紧盯屏幕，加上中心大流量的包裹通过数量，安检人员容易视觉疲劳导致漏检、误判。</w:t>
      </w:r>
    </w:p>
    <w:p>
      <w:pPr>
        <w:pStyle w:val="37"/>
        <w:ind w:firstLine="480"/>
      </w:pPr>
      <w:r>
        <w:rPr>
          <w:rFonts w:hint="eastAsia"/>
        </w:rPr>
        <w:t>安检智能分析仪和智能安检机通过对海量X光安检图像的深度学习算法，运用大数据的智能化自主识别技术，有效解决图像目标识别难点。稳定可靠的发现隐藏在行李物品中的违禁物品，协助或替代工作人员肉眼检视透视性图像，降低漏检可能性，提高安检效率。</w:t>
      </w:r>
    </w:p>
    <w:p>
      <w:pPr>
        <w:spacing w:line="360" w:lineRule="auto"/>
        <w:ind w:firstLine="480" w:firstLineChars="200"/>
      </w:pPr>
      <w:r>
        <w:rPr>
          <w:rFonts w:hint="eastAsia"/>
        </w:rPr>
        <w:t>智能安检门将红外测温与通过式金属探测融合，用于检查进入人员身体上隐藏的金属物品，如枪支、管制刀具等违禁物品。一体化解决人体测温和违禁物品检测，减少设备投放，提高人员过检时间。</w:t>
      </w:r>
    </w:p>
    <w:p>
      <w:pPr>
        <w:pStyle w:val="3"/>
      </w:pPr>
      <w:bookmarkStart w:id="7" w:name="_Toc45048057"/>
      <w:r>
        <w:t>二、项目内容及要求</w:t>
      </w:r>
      <w:bookmarkEnd w:id="7"/>
    </w:p>
    <w:p>
      <w:pPr>
        <w:pStyle w:val="4"/>
      </w:pPr>
      <w:bookmarkStart w:id="8" w:name="_Toc45048058"/>
      <w:r>
        <w:t>2.1</w:t>
      </w:r>
      <w:bookmarkEnd w:id="8"/>
      <w:r>
        <w:t xml:space="preserve"> 项目内容</w:t>
      </w:r>
    </w:p>
    <w:p>
      <w:pPr>
        <w:pStyle w:val="37"/>
        <w:ind w:firstLine="480"/>
      </w:pPr>
      <w:r>
        <w:rPr>
          <w:rFonts w:hint="eastAsia"/>
        </w:rPr>
        <w:t>本项目建设方案主要为升级原有安检机，为原有安检机新增配备1台安检智能分析仪、；新增1套智能安检机；新购2套具有智能安检门（替换原有2套安检门）；新购1套便携式安检门，新购1套综合安防管理平台的安检区模块。具体内容如下：</w:t>
      </w:r>
    </w:p>
    <w:p>
      <w:pPr>
        <w:pStyle w:val="37"/>
        <w:numPr>
          <w:ilvl w:val="0"/>
          <w:numId w:val="2"/>
        </w:numPr>
        <w:ind w:left="426" w:firstLineChars="0"/>
      </w:pPr>
      <w:r>
        <w:rPr>
          <w:rFonts w:hint="eastAsia"/>
        </w:rPr>
        <w:t>在原有安检机适当位置新增1台安检智能分析仪，并重新布放电源线为新增安检智能分析仪供电并完成系统升级调测工作；</w:t>
      </w:r>
    </w:p>
    <w:p>
      <w:pPr>
        <w:pStyle w:val="37"/>
        <w:numPr>
          <w:ilvl w:val="0"/>
          <w:numId w:val="2"/>
        </w:numPr>
        <w:ind w:left="426" w:firstLineChars="0"/>
      </w:pPr>
      <w:r>
        <w:rPr>
          <w:rFonts w:hint="eastAsia"/>
        </w:rPr>
        <w:t>新增2套智能安检门并拆除原有2套安检门，新增1套便携式安检门，重新为智能安检门布放供电及网络线缆；</w:t>
      </w:r>
    </w:p>
    <w:p>
      <w:pPr>
        <w:pStyle w:val="37"/>
        <w:numPr>
          <w:ilvl w:val="0"/>
          <w:numId w:val="2"/>
        </w:numPr>
        <w:ind w:left="426" w:firstLineChars="0"/>
      </w:pPr>
      <w:r>
        <w:rPr>
          <w:rFonts w:hint="eastAsia"/>
        </w:rPr>
        <w:t>新增1套智能安检机，需要按照建设单位要求安装在合适位置；</w:t>
      </w:r>
    </w:p>
    <w:p>
      <w:pPr>
        <w:pStyle w:val="37"/>
        <w:numPr>
          <w:ilvl w:val="0"/>
          <w:numId w:val="2"/>
        </w:numPr>
        <w:ind w:left="426" w:firstLineChars="0"/>
      </w:pPr>
      <w:r>
        <w:t>新增</w:t>
      </w:r>
      <w:r>
        <w:rPr>
          <w:rFonts w:hint="eastAsia"/>
        </w:rPr>
        <w:t>传输媒介，将交流中心及主楼2号安检区相关信号信息回传到监控中心；</w:t>
      </w:r>
    </w:p>
    <w:p>
      <w:pPr>
        <w:pStyle w:val="37"/>
        <w:numPr>
          <w:ilvl w:val="0"/>
          <w:numId w:val="2"/>
        </w:numPr>
        <w:ind w:left="426" w:firstLineChars="0"/>
      </w:pPr>
      <w:r>
        <w:rPr>
          <w:rFonts w:hint="eastAsia"/>
        </w:rPr>
        <w:t>利旧1套原有服务器，进行安检区的信息处理；</w:t>
      </w:r>
    </w:p>
    <w:p>
      <w:pPr>
        <w:pStyle w:val="37"/>
        <w:numPr>
          <w:ilvl w:val="0"/>
          <w:numId w:val="2"/>
        </w:numPr>
        <w:ind w:left="426" w:firstLineChars="0"/>
      </w:pPr>
      <w:r>
        <w:rPr>
          <w:rFonts w:hint="eastAsia"/>
        </w:rPr>
        <w:t>新增1套综合安防管理平台的安检区模块，实现统一的安全防范管理及调度。</w:t>
      </w:r>
    </w:p>
    <w:p/>
    <w:p>
      <w:pPr>
        <w:pStyle w:val="4"/>
        <w:rPr>
          <w:sz w:val="28"/>
          <w:szCs w:val="28"/>
        </w:rPr>
      </w:pPr>
      <w:r>
        <w:rPr>
          <w:sz w:val="28"/>
          <w:szCs w:val="28"/>
        </w:rPr>
        <w:t>2.</w:t>
      </w:r>
      <w:r>
        <w:rPr>
          <w:rFonts w:hint="eastAsia"/>
          <w:sz w:val="28"/>
          <w:szCs w:val="28"/>
        </w:rPr>
        <w:t xml:space="preserve">2 </w:t>
      </w:r>
      <w:r>
        <w:rPr>
          <w:sz w:val="28"/>
          <w:szCs w:val="28"/>
        </w:rPr>
        <w:t>设备清单</w:t>
      </w:r>
    </w:p>
    <w:p>
      <w:pPr>
        <w:ind w:firstLine="562" w:firstLineChars="200"/>
        <w:rPr>
          <w:b/>
          <w:sz w:val="28"/>
          <w:szCs w:val="28"/>
        </w:rPr>
      </w:pPr>
      <w:r>
        <w:rPr>
          <w:b/>
          <w:sz w:val="28"/>
          <w:szCs w:val="28"/>
        </w:rPr>
        <w:t>本项目设备参数及数量要求如下</w:t>
      </w:r>
      <w:r>
        <w:rPr>
          <w:rFonts w:hint="eastAsia"/>
          <w:b/>
          <w:sz w:val="28"/>
          <w:szCs w:val="28"/>
        </w:rPr>
        <w:t>，</w:t>
      </w:r>
      <w:r>
        <w:rPr>
          <w:b/>
          <w:sz w:val="28"/>
          <w:szCs w:val="28"/>
        </w:rPr>
        <w:t>其中</w:t>
      </w:r>
      <w:r>
        <w:rPr>
          <w:rFonts w:hint="eastAsia"/>
          <w:b/>
          <w:sz w:val="28"/>
          <w:szCs w:val="28"/>
        </w:rPr>
        <w:t>“</w:t>
      </w:r>
      <w:r>
        <w:rPr>
          <w:rFonts w:hint="eastAsia" w:hAnsi="宋体" w:cs="宋体"/>
          <w:b/>
          <w:sz w:val="28"/>
          <w:szCs w:val="28"/>
        </w:rPr>
        <w:t>★</w:t>
      </w:r>
      <w:r>
        <w:rPr>
          <w:rFonts w:hint="eastAsia"/>
          <w:b/>
          <w:sz w:val="28"/>
          <w:szCs w:val="28"/>
        </w:rPr>
        <w:t>”标号为不可偏离项，并要求报价人提供清单要求实质性响应证明文件。</w:t>
      </w:r>
    </w:p>
    <w:p>
      <w:pPr>
        <w:ind w:firstLine="562" w:firstLineChars="200"/>
        <w:rPr>
          <w:b/>
          <w:sz w:val="28"/>
          <w:szCs w:val="28"/>
        </w:rPr>
        <w:sectPr>
          <w:type w:val="nextColumn"/>
          <w:pgSz w:w="11907" w:h="16840"/>
          <w:pgMar w:top="1304" w:right="1843" w:bottom="1247" w:left="1418" w:header="720" w:footer="720" w:gutter="0"/>
          <w:cols w:space="720" w:num="1"/>
        </w:sectPr>
      </w:pPr>
    </w:p>
    <w:tbl>
      <w:tblPr>
        <w:tblStyle w:val="17"/>
        <w:tblW w:w="14960" w:type="dxa"/>
        <w:tblInd w:w="-184" w:type="dxa"/>
        <w:tblLayout w:type="fixed"/>
        <w:tblCellMar>
          <w:top w:w="0" w:type="dxa"/>
          <w:left w:w="108" w:type="dxa"/>
          <w:bottom w:w="0" w:type="dxa"/>
          <w:right w:w="108" w:type="dxa"/>
        </w:tblCellMar>
      </w:tblPr>
      <w:tblGrid>
        <w:gridCol w:w="686"/>
        <w:gridCol w:w="1307"/>
        <w:gridCol w:w="11624"/>
        <w:gridCol w:w="603"/>
        <w:gridCol w:w="740"/>
      </w:tblGrid>
      <w:tr>
        <w:tblPrEx>
          <w:tblCellMar>
            <w:top w:w="0" w:type="dxa"/>
            <w:left w:w="108" w:type="dxa"/>
            <w:bottom w:w="0" w:type="dxa"/>
            <w:right w:w="108" w:type="dxa"/>
          </w:tblCellMar>
        </w:tblPrEx>
        <w:trPr>
          <w:trHeight w:val="264" w:hRule="atLeast"/>
          <w:tblHeader/>
        </w:trPr>
        <w:tc>
          <w:tcPr>
            <w:tcW w:w="686" w:type="dxa"/>
            <w:tcBorders>
              <w:top w:val="single" w:color="auto" w:sz="4" w:space="0"/>
              <w:left w:val="single" w:color="auto" w:sz="4" w:space="0"/>
              <w:bottom w:val="nil"/>
              <w:right w:val="single" w:color="auto" w:sz="4" w:space="0"/>
            </w:tcBorders>
            <w:shd w:val="clear" w:color="000000" w:fill="C00000"/>
            <w:vAlign w:val="center"/>
          </w:tcPr>
          <w:p>
            <w:pPr>
              <w:widowControl/>
              <w:autoSpaceDE/>
              <w:autoSpaceDN/>
              <w:adjustRightInd/>
              <w:jc w:val="center"/>
              <w:rPr>
                <w:rFonts w:ascii="微软雅黑" w:hAnsi="微软雅黑" w:eastAsia="微软雅黑" w:cs="宋体"/>
                <w:b/>
                <w:bCs/>
                <w:color w:val="FFFFFF"/>
                <w:sz w:val="18"/>
                <w:szCs w:val="18"/>
              </w:rPr>
            </w:pPr>
            <w:r>
              <w:rPr>
                <w:rFonts w:hint="eastAsia" w:ascii="微软雅黑" w:hAnsi="微软雅黑" w:eastAsia="微软雅黑" w:cs="宋体"/>
                <w:b/>
                <w:bCs/>
                <w:color w:val="FFFFFF"/>
                <w:sz w:val="18"/>
                <w:szCs w:val="18"/>
              </w:rPr>
              <w:t>序号</w:t>
            </w:r>
          </w:p>
        </w:tc>
        <w:tc>
          <w:tcPr>
            <w:tcW w:w="1307" w:type="dxa"/>
            <w:tcBorders>
              <w:top w:val="single" w:color="auto" w:sz="4" w:space="0"/>
              <w:left w:val="nil"/>
              <w:bottom w:val="nil"/>
              <w:right w:val="single" w:color="auto" w:sz="4" w:space="0"/>
            </w:tcBorders>
            <w:shd w:val="clear" w:color="000000" w:fill="C00000"/>
            <w:vAlign w:val="center"/>
          </w:tcPr>
          <w:p>
            <w:pPr>
              <w:widowControl/>
              <w:autoSpaceDE/>
              <w:autoSpaceDN/>
              <w:adjustRightInd/>
              <w:jc w:val="center"/>
              <w:rPr>
                <w:rFonts w:ascii="微软雅黑" w:hAnsi="微软雅黑" w:eastAsia="微软雅黑" w:cs="宋体"/>
                <w:b/>
                <w:bCs/>
                <w:color w:val="FFFFFF"/>
                <w:sz w:val="18"/>
                <w:szCs w:val="18"/>
              </w:rPr>
            </w:pPr>
            <w:r>
              <w:rPr>
                <w:rFonts w:hint="eastAsia" w:ascii="微软雅黑" w:hAnsi="微软雅黑" w:eastAsia="微软雅黑" w:cs="宋体"/>
                <w:b/>
                <w:bCs/>
                <w:color w:val="FFFFFF"/>
                <w:sz w:val="18"/>
                <w:szCs w:val="18"/>
              </w:rPr>
              <w:t>设备</w:t>
            </w:r>
          </w:p>
        </w:tc>
        <w:tc>
          <w:tcPr>
            <w:tcW w:w="11624" w:type="dxa"/>
            <w:tcBorders>
              <w:top w:val="single" w:color="auto" w:sz="4" w:space="0"/>
              <w:left w:val="nil"/>
              <w:bottom w:val="nil"/>
              <w:right w:val="single" w:color="auto" w:sz="4" w:space="0"/>
            </w:tcBorders>
            <w:shd w:val="clear" w:color="000000" w:fill="C00000"/>
            <w:vAlign w:val="center"/>
          </w:tcPr>
          <w:p>
            <w:pPr>
              <w:widowControl/>
              <w:autoSpaceDE/>
              <w:autoSpaceDN/>
              <w:adjustRightInd/>
              <w:jc w:val="center"/>
              <w:rPr>
                <w:rFonts w:ascii="微软雅黑" w:hAnsi="微软雅黑" w:eastAsia="微软雅黑" w:cs="宋体"/>
                <w:b/>
                <w:bCs/>
                <w:color w:val="FFFFFF"/>
                <w:sz w:val="18"/>
                <w:szCs w:val="18"/>
              </w:rPr>
            </w:pPr>
            <w:r>
              <w:rPr>
                <w:rFonts w:hint="eastAsia" w:ascii="微软雅黑" w:hAnsi="微软雅黑" w:eastAsia="微软雅黑" w:cs="宋体"/>
                <w:b/>
                <w:bCs/>
                <w:color w:val="FFFFFF"/>
                <w:sz w:val="18"/>
                <w:szCs w:val="18"/>
              </w:rPr>
              <w:t>技术参数</w:t>
            </w:r>
          </w:p>
        </w:tc>
        <w:tc>
          <w:tcPr>
            <w:tcW w:w="603" w:type="dxa"/>
            <w:tcBorders>
              <w:top w:val="single" w:color="auto" w:sz="4" w:space="0"/>
              <w:left w:val="nil"/>
              <w:bottom w:val="nil"/>
              <w:right w:val="single" w:color="auto" w:sz="4" w:space="0"/>
            </w:tcBorders>
            <w:shd w:val="clear" w:color="000000" w:fill="C00000"/>
            <w:vAlign w:val="center"/>
          </w:tcPr>
          <w:p>
            <w:pPr>
              <w:widowControl/>
              <w:autoSpaceDE/>
              <w:autoSpaceDN/>
              <w:adjustRightInd/>
              <w:jc w:val="center"/>
              <w:rPr>
                <w:rFonts w:ascii="微软雅黑" w:hAnsi="微软雅黑" w:eastAsia="微软雅黑" w:cs="宋体"/>
                <w:b/>
                <w:bCs/>
                <w:color w:val="FFFFFF"/>
                <w:sz w:val="18"/>
                <w:szCs w:val="18"/>
              </w:rPr>
            </w:pPr>
            <w:r>
              <w:rPr>
                <w:rFonts w:hint="eastAsia" w:ascii="微软雅黑" w:hAnsi="微软雅黑" w:eastAsia="微软雅黑" w:cs="宋体"/>
                <w:b/>
                <w:bCs/>
                <w:color w:val="FFFFFF"/>
                <w:sz w:val="18"/>
                <w:szCs w:val="18"/>
              </w:rPr>
              <w:t>单位</w:t>
            </w:r>
          </w:p>
        </w:tc>
        <w:tc>
          <w:tcPr>
            <w:tcW w:w="740" w:type="dxa"/>
            <w:tcBorders>
              <w:top w:val="nil"/>
              <w:left w:val="nil"/>
              <w:bottom w:val="nil"/>
              <w:right w:val="single" w:color="auto" w:sz="4" w:space="0"/>
            </w:tcBorders>
            <w:shd w:val="clear" w:color="000000" w:fill="C00000"/>
            <w:vAlign w:val="center"/>
          </w:tcPr>
          <w:p>
            <w:pPr>
              <w:widowControl/>
              <w:autoSpaceDE/>
              <w:autoSpaceDN/>
              <w:adjustRightInd/>
              <w:jc w:val="center"/>
              <w:rPr>
                <w:rFonts w:ascii="微软雅黑" w:hAnsi="微软雅黑" w:eastAsia="微软雅黑" w:cs="宋体"/>
                <w:b/>
                <w:bCs/>
                <w:color w:val="FFFFFF"/>
                <w:sz w:val="18"/>
                <w:szCs w:val="18"/>
              </w:rPr>
            </w:pPr>
            <w:r>
              <w:rPr>
                <w:rFonts w:hint="eastAsia" w:ascii="微软雅黑" w:hAnsi="微软雅黑" w:eastAsia="微软雅黑" w:cs="宋体"/>
                <w:b/>
                <w:bCs/>
                <w:color w:val="FFFFFF"/>
                <w:sz w:val="18"/>
                <w:szCs w:val="18"/>
              </w:rPr>
              <w:t>数量</w:t>
            </w:r>
          </w:p>
        </w:tc>
      </w:tr>
      <w:tr>
        <w:tblPrEx>
          <w:tblCellMar>
            <w:top w:w="0" w:type="dxa"/>
            <w:left w:w="108" w:type="dxa"/>
            <w:bottom w:w="0" w:type="dxa"/>
            <w:right w:w="108" w:type="dxa"/>
          </w:tblCellMar>
        </w:tblPrEx>
        <w:trPr>
          <w:trHeight w:val="264" w:hRule="atLeast"/>
        </w:trPr>
        <w:tc>
          <w:tcPr>
            <w:tcW w:w="68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1307"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智能安检门</w:t>
            </w:r>
          </w:p>
        </w:tc>
        <w:tc>
          <w:tcPr>
            <w:tcW w:w="11624" w:type="dxa"/>
            <w:tcBorders>
              <w:top w:val="nil"/>
              <w:left w:val="nil"/>
              <w:bottom w:val="single" w:color="auto" w:sz="4" w:space="0"/>
              <w:right w:val="single" w:color="auto" w:sz="4" w:space="0"/>
            </w:tcBorders>
            <w:shd w:val="clear" w:color="auto" w:fill="auto"/>
            <w:vAlign w:val="center"/>
          </w:tcPr>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1、安检门应具有金属检测功能、测温功能、人脸抓拍、信息发布等功能</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2、金属门应能对达到或超过限定量的金属进行报警，不应该出现漏报警</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3、通行速度：应不小于0.4m/s～1.8m/s。当人在规定的通行速度范围内穿过时，应报警测试物正确响应并报警，总探测率应≥90%</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4、报警响应时间：进入探测区后1s，金属门应能发出报警提示，且离开探测区后报警指示延续应小于等于1s</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5、报警声音：a)应与非报警声有区别。b)应能调节音调，以便能明确区分两台相邻探测门的报警。c)应能从静音到最大声强分档调节，最大声强不应低于90dB</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6、报警显示：a)应与非报警显示有区别，且颜色宜用红色。b)如有分区探测功能，分区定位应能一目了然，位置准确。c)在6000lx的明亮环境和25lx的昏暗环境下，距离报警显示器3m时，应能清晰地观看到</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7、探测区内磁感应强度：在探测区左右边界各方内150mm形成的区域中，任意一点的磁感应强度都不应超过20μT</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8、人脸检测功能：可同时检测并框选出30张人脸，并叠加测温结果</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9、人脸比对：设备应可在门头主机内建立人脸数据库，可存储不少于30万张人脸；支持对人脸进行属性识别，识别结果为输出属性按照性别、年龄、年龄段、戴眼镜、戴口罩、戴帽子等分类；可对存储的人脸按照不同名单进行分类，分类的名称可修改便捷，不同名单分类可联动不同的处理方式（如黑白名单）。</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10、报警显示功能：应可在1、6、12、18、11、22、33共7种区位模式间切换；系统前后两侧都有LED灯条，可显示人体藏匿违禁品的高度，在门板左右均可通过LED灯条显示对应报警区域；当有金属物进入检测区域时，该区域对应的指示灯将点亮；当多个区域有报警物时，对应的区域都应显示报警；（提供公安部检测报告证明）</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11、</w:t>
            </w:r>
            <w:r>
              <w:rPr>
                <w:rFonts w:hint="eastAsia" w:hAnsi="宋体" w:cs="宋体"/>
                <w:b/>
                <w:sz w:val="18"/>
                <w:szCs w:val="28"/>
              </w:rPr>
              <w:t>★</w:t>
            </w:r>
            <w:r>
              <w:rPr>
                <w:rFonts w:hint="eastAsia" w:ascii="微软雅黑" w:hAnsi="微软雅黑" w:eastAsia="微软雅黑" w:cs="宋体"/>
                <w:sz w:val="18"/>
                <w:szCs w:val="18"/>
              </w:rPr>
              <w:t>嵌入式摄像头：在门板内侧安装有2台摄像头采集图像，并可将采集到的视频图像信息上传至服务器（提供公安部检测报告证明）</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12、</w:t>
            </w:r>
            <w:r>
              <w:rPr>
                <w:rFonts w:hint="eastAsia" w:hAnsi="宋体" w:cs="宋体"/>
                <w:b/>
                <w:sz w:val="18"/>
                <w:szCs w:val="28"/>
              </w:rPr>
              <w:t>★</w:t>
            </w:r>
            <w:r>
              <w:rPr>
                <w:rFonts w:hint="eastAsia" w:ascii="微软雅黑" w:hAnsi="微软雅黑" w:eastAsia="微软雅黑" w:cs="宋体"/>
                <w:sz w:val="18"/>
                <w:szCs w:val="18"/>
              </w:rPr>
              <w:t>联动功能：样机门板底部左右电源面板共支持不少于3路报警输出接口，每路报警输出可设置持续事件、常开常闭状态及关联通行方向（可设置正向、反向、双向）（提供公安部检测报告证明）</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13、报警响应时间：从框选出人脸到给出报警指示的时长不大于200ms</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14、温度测量误差：在33℃-42℃范围内,测温误差均不大于0.2℃</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15、摄像机角度调整：门头底部摄像机的拍摄角度应可手动调节</w:t>
            </w:r>
          </w:p>
          <w:p>
            <w:pPr>
              <w:widowControl/>
              <w:autoSpaceDE/>
              <w:autoSpaceDN/>
              <w:adjustRightInd/>
              <w:rPr>
                <w:rFonts w:ascii="微软雅黑" w:hAnsi="微软雅黑" w:eastAsia="微软雅黑" w:cs="宋体"/>
                <w:sz w:val="18"/>
                <w:szCs w:val="18"/>
              </w:rPr>
            </w:pPr>
            <w:r>
              <w:rPr>
                <w:rFonts w:hint="eastAsia" w:ascii="微软雅黑" w:hAnsi="微软雅黑" w:eastAsia="微软雅黑" w:cs="宋体"/>
                <w:sz w:val="18"/>
                <w:szCs w:val="18"/>
              </w:rPr>
              <w:t>16、显示屏实时显示信息功能：设备显示屏上需可实时显示设备的红外状态、网络连接状态、机箱与门板的连接状态、金属信号强度、系统时间</w:t>
            </w:r>
          </w:p>
        </w:tc>
        <w:tc>
          <w:tcPr>
            <w:tcW w:w="603"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套</w:t>
            </w:r>
          </w:p>
        </w:tc>
        <w:tc>
          <w:tcPr>
            <w:tcW w:w="74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2</w:t>
            </w:r>
          </w:p>
        </w:tc>
      </w:tr>
      <w:tr>
        <w:tblPrEx>
          <w:tblCellMar>
            <w:top w:w="0" w:type="dxa"/>
            <w:left w:w="108" w:type="dxa"/>
            <w:bottom w:w="0" w:type="dxa"/>
            <w:right w:w="108" w:type="dxa"/>
          </w:tblCellMar>
        </w:tblPrEx>
        <w:trPr>
          <w:trHeight w:val="264" w:hRule="atLeast"/>
        </w:trPr>
        <w:tc>
          <w:tcPr>
            <w:tcW w:w="68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2</w:t>
            </w:r>
          </w:p>
        </w:tc>
        <w:tc>
          <w:tcPr>
            <w:tcW w:w="1307"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便携式安检门</w:t>
            </w:r>
          </w:p>
        </w:tc>
        <w:tc>
          <w:tcPr>
            <w:tcW w:w="11624" w:type="dxa"/>
            <w:tcBorders>
              <w:top w:val="nil"/>
              <w:left w:val="nil"/>
              <w:bottom w:val="single" w:color="auto" w:sz="4" w:space="0"/>
              <w:right w:val="single" w:color="auto" w:sz="4" w:space="0"/>
            </w:tcBorders>
            <w:shd w:val="clear" w:color="auto" w:fill="auto"/>
            <w:vAlign w:val="center"/>
          </w:tcPr>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1、模块化组件设计：可以拆装为多块组成部件，可以方便的携带和转运；</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2、≥7英寸LCD彩色液晶触摸屏，可显示菜单、通过人数、金属报警人数等，图形化报警区位等信息；</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3、金属检测：可检测到1个硬币大小的金属，有效进行违规物品核验；</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4、多区位报警功能：人体不同位置的多个金属通过安检门时会同时报警，并可以指示多个金属的位置；</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5、工作频段：工作频段可调（0-100）, 并具有工作环境自适应功能；</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6、探测防区灵敏度：单个防区灵敏度最高可达255级可调；</w:t>
            </w:r>
          </w:p>
          <w:p>
            <w:pPr>
              <w:widowControl/>
              <w:autoSpaceDE/>
              <w:autoSpaceDN/>
              <w:adjustRightInd/>
              <w:rPr>
                <w:rFonts w:ascii="微软雅黑" w:hAnsi="微软雅黑" w:eastAsia="微软雅黑" w:cs="宋体"/>
                <w:sz w:val="18"/>
                <w:szCs w:val="18"/>
              </w:rPr>
            </w:pPr>
            <w:r>
              <w:rPr>
                <w:rFonts w:hint="eastAsia" w:ascii="微软雅黑" w:hAnsi="微软雅黑" w:eastAsia="微软雅黑" w:cs="宋体"/>
                <w:sz w:val="18"/>
                <w:szCs w:val="18"/>
              </w:rPr>
              <w:t>7、支持电池供电：配备聚合物电池（续航时间≥6小时）</w:t>
            </w:r>
          </w:p>
        </w:tc>
        <w:tc>
          <w:tcPr>
            <w:tcW w:w="603"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套</w:t>
            </w:r>
          </w:p>
        </w:tc>
        <w:tc>
          <w:tcPr>
            <w:tcW w:w="74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r>
      <w:tr>
        <w:tblPrEx>
          <w:tblCellMar>
            <w:top w:w="0" w:type="dxa"/>
            <w:left w:w="108" w:type="dxa"/>
            <w:bottom w:w="0" w:type="dxa"/>
            <w:right w:w="108" w:type="dxa"/>
          </w:tblCellMar>
        </w:tblPrEx>
        <w:trPr>
          <w:trHeight w:val="264" w:hRule="atLeast"/>
        </w:trPr>
        <w:tc>
          <w:tcPr>
            <w:tcW w:w="68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3</w:t>
            </w:r>
          </w:p>
        </w:tc>
        <w:tc>
          <w:tcPr>
            <w:tcW w:w="1307"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智能安检机套装</w:t>
            </w:r>
          </w:p>
        </w:tc>
        <w:tc>
          <w:tcPr>
            <w:tcW w:w="11624" w:type="dxa"/>
            <w:tcBorders>
              <w:top w:val="nil"/>
              <w:left w:val="nil"/>
              <w:bottom w:val="single" w:color="auto" w:sz="4" w:space="0"/>
              <w:right w:val="single" w:color="auto" w:sz="4" w:space="0"/>
            </w:tcBorders>
            <w:shd w:val="clear" w:color="auto" w:fill="auto"/>
            <w:vAlign w:val="center"/>
          </w:tcPr>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1、摄像头数量：5个，安检机通道进出口各2个，操作台1个</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2、通道尺寸：≥650mm×500mm（宽×高）</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3、传送带高度：≤700mm</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4、管电压：160kV</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5、管电流：1.2mA（可调）</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6、设备应采用单源多能量X射线检查技术，能够准确识别有机物、无机物和混合物。</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7、X射线冷却/工作周期：油冷/连续</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8、图像存储功能：设备应具有图像实时存储功能，并能支持扩展，保存图像应包含图像生成时间、操作员ID、设备ID、疑似危险品名称等信息，并可将疑似危险品报警信息同X光机过包图像同步保存</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9、设备异常故障报警功能：设备应具有异常报警提醒功能，报警应能以图标形式在过包界面进行提示</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10、设备内置智能识别算法，实现对违禁品的智能识别功能。当检测到以下违禁品时，应能自动识别图像圈定标注名称或种类、并发出声音报警提示：1、刀具（匕首、切刀、美工刀、弹簧刀）2、仿真枪 3、管制器具（指虎、甩棍、电击器、手铐） 4、压力容器 5、瓶装液体 6、鞭炮 7、电子设备（笔记本电脑、手机、平板电脑） 8、锂电池 、充电宝 9、工具（扳手、剪刀、斜口钳、螺丝刀、压线钳）10、打火机 11、雨伞</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11、输送速度：设备传送带最大输送速度大于等于0.8m/s，最小输送速度小于等于0.2m/s</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12、在岗/离岗监控功能：设备应具有操作人员在岗/离岗监控功能，当操作人员离岗时间超过设定的阈值时，应能发出声音报警提示，且离岗时间阈值可自定义设置</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13、事件追溯：设备应能将旅客的放包和取包视频、抓拍的人脸和包裹照片与X射线透射图像进行关联存储，并将抓拍的人脸照片与人脸库对比，当对比成功后，可显示人员的身份信息，并可进行年龄段、是否戴眼镜、性别、相似度、危险品类别等条件进行检索并查询回放</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14、</w:t>
            </w:r>
            <w:r>
              <w:rPr>
                <w:rFonts w:hint="eastAsia" w:hAnsi="宋体" w:cs="宋体"/>
                <w:b/>
                <w:sz w:val="18"/>
                <w:szCs w:val="28"/>
              </w:rPr>
              <w:t>★</w:t>
            </w:r>
            <w:r>
              <w:rPr>
                <w:rFonts w:hint="eastAsia" w:ascii="微软雅黑" w:hAnsi="微软雅黑" w:eastAsia="微软雅黑" w:cs="宋体"/>
                <w:sz w:val="18"/>
                <w:szCs w:val="18"/>
              </w:rPr>
              <w:t>所有图像应自动存储，可存储容量不少于1500万幅被检图像。（提供公安部检测报告证明）</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15、开/关机时间：开机时间：免密模式下，从按下开机按钮至显示屏显示过包界面的时间应小于等于18s；关机时间：从旋转钥匙开关至显示屏关闭的时间应小于等于5s（提供公安部检测报告证明）</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16、人员状态监控功能：当视频监控画面中操作人员出现疑似低头、打哈欠、偏头、长时间闭眼、吸烟、使用手机等动作及镜头被遮挡时，应自动发送声、光、弹窗等报警提示，报警信息可推送至远程平台（提供公安部检测报告证明）</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17、超薄物体检测：当被测物过薄而无法遮挡光障时，人工按下操作台上的相应功能键，设备应能检测出厚度小于等于0.01mm的钢板（提供公安部检测报告证明）</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18、</w:t>
            </w:r>
            <w:r>
              <w:rPr>
                <w:rFonts w:hint="eastAsia" w:hAnsi="宋体" w:cs="宋体"/>
                <w:b/>
                <w:sz w:val="18"/>
                <w:szCs w:val="28"/>
              </w:rPr>
              <w:t>★</w:t>
            </w:r>
            <w:r>
              <w:rPr>
                <w:rFonts w:hint="eastAsia" w:ascii="微软雅黑" w:hAnsi="微软雅黑" w:eastAsia="微软雅黑" w:cs="宋体"/>
                <w:sz w:val="18"/>
                <w:szCs w:val="18"/>
              </w:rPr>
              <w:t>疑似液体危险品识别功能：应可对以下瓶装液体进行识别并以红色方框框出报警且文字和语音提示出方框里意思危险品名称： 1.塑料瓶装二甲苯（550mL农夫山泉） 2.塑料瓶装酒精（550mL农夫山泉） 3.塑料瓶装煤油（550mL农夫山泉） 4.塑料瓶装柴油（550mL农夫山泉） 5.塑料瓶装汽油（550mL农夫山泉） 6.塑料瓶装机油（550mL农夫山泉） 7.金属保温杯（350ml） 8.江小白玻璃瓶（100ml）（提供公安部检测报告证明）</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19、图像回拉：设备可按图像生成顺序连续回调当前用户的历史过检图像，无图像数量限制</w:t>
            </w:r>
          </w:p>
          <w:p>
            <w:pPr>
              <w:widowControl/>
              <w:autoSpaceDE/>
              <w:autoSpaceDN/>
              <w:adjustRightInd/>
              <w:rPr>
                <w:rFonts w:ascii="微软雅黑" w:hAnsi="微软雅黑" w:eastAsia="微软雅黑" w:cs="宋体"/>
                <w:sz w:val="18"/>
                <w:szCs w:val="18"/>
              </w:rPr>
            </w:pPr>
            <w:r>
              <w:rPr>
                <w:rFonts w:hint="eastAsia" w:ascii="微软雅黑" w:hAnsi="微软雅黑" w:eastAsia="微软雅黑" w:cs="宋体"/>
                <w:sz w:val="18"/>
                <w:szCs w:val="18"/>
              </w:rPr>
              <w:t>20、缩放功能：设备应能通过鼠标滚轮对过包图像选中区域进行放大1~128倍，并可根据选中区域移动而移动</w:t>
            </w:r>
          </w:p>
        </w:tc>
        <w:tc>
          <w:tcPr>
            <w:tcW w:w="603"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台</w:t>
            </w:r>
          </w:p>
        </w:tc>
        <w:tc>
          <w:tcPr>
            <w:tcW w:w="74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r>
      <w:tr>
        <w:tblPrEx>
          <w:tblCellMar>
            <w:top w:w="0" w:type="dxa"/>
            <w:left w:w="108" w:type="dxa"/>
            <w:bottom w:w="0" w:type="dxa"/>
            <w:right w:w="108" w:type="dxa"/>
          </w:tblCellMar>
        </w:tblPrEx>
        <w:trPr>
          <w:trHeight w:val="264" w:hRule="atLeast"/>
        </w:trPr>
        <w:tc>
          <w:tcPr>
            <w:tcW w:w="68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4</w:t>
            </w:r>
          </w:p>
        </w:tc>
        <w:tc>
          <w:tcPr>
            <w:tcW w:w="1307"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安检智能分析仪</w:t>
            </w:r>
          </w:p>
        </w:tc>
        <w:tc>
          <w:tcPr>
            <w:tcW w:w="11624" w:type="dxa"/>
            <w:tcBorders>
              <w:top w:val="nil"/>
              <w:left w:val="nil"/>
              <w:bottom w:val="single" w:color="auto" w:sz="4" w:space="0"/>
              <w:right w:val="single" w:color="auto" w:sz="4" w:space="0"/>
            </w:tcBorders>
            <w:shd w:val="clear" w:color="auto" w:fill="auto"/>
            <w:vAlign w:val="center"/>
          </w:tcPr>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1、支持双视角X光机分析</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2、违禁品智能识别 支持液体、刀具、枪支、雨伞、电池、剪刀、喷罐、手机、笔记本电脑、打火机、手铐、烟花爆竹、甩棍、电击器、指虎、工具类</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3、</w:t>
            </w:r>
            <w:r>
              <w:rPr>
                <w:rFonts w:hint="eastAsia" w:hAnsi="宋体" w:cs="宋体"/>
                <w:b/>
                <w:sz w:val="18"/>
                <w:szCs w:val="28"/>
              </w:rPr>
              <w:t>★</w:t>
            </w:r>
            <w:r>
              <w:rPr>
                <w:rFonts w:hint="eastAsia" w:ascii="微软雅黑" w:hAnsi="微软雅黑" w:eastAsia="微软雅黑" w:cs="宋体"/>
                <w:sz w:val="18"/>
                <w:szCs w:val="18"/>
              </w:rPr>
              <w:t>支持对通过VGA/HDMI/DVI接口接入的视频进行显示配置，包括亮度，对比度，饱和度，色度（提供公安部检测报告证明）</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 xml:space="preserve">4、视频输入 ≥VGA/HDMI/DVI 2组 </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5、视频输出≥ VGA/HDMI 2组</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6、网口 ≥7个</w:t>
            </w:r>
          </w:p>
          <w:p>
            <w:pPr>
              <w:widowControl/>
              <w:autoSpaceDE/>
              <w:autoSpaceDN/>
              <w:adjustRightInd/>
              <w:rPr>
                <w:rFonts w:hint="eastAsia" w:ascii="微软雅黑" w:hAnsi="微软雅黑" w:eastAsia="微软雅黑" w:cs="宋体"/>
                <w:sz w:val="18"/>
                <w:szCs w:val="18"/>
                <w:lang w:eastAsia="zh-CN"/>
              </w:rPr>
            </w:pPr>
            <w:r>
              <w:rPr>
                <w:rFonts w:hint="eastAsia" w:ascii="微软雅黑" w:hAnsi="微软雅黑" w:eastAsia="微软雅黑" w:cs="宋体"/>
                <w:sz w:val="18"/>
                <w:szCs w:val="18"/>
              </w:rPr>
              <w:t>7、IPC接入 ≥4路</w:t>
            </w:r>
          </w:p>
          <w:p>
            <w:pPr>
              <w:widowControl/>
              <w:autoSpaceDE/>
              <w:autoSpaceDN/>
              <w:adjustRightInd/>
              <w:rPr>
                <w:rFonts w:ascii="微软雅黑" w:hAnsi="微软雅黑" w:eastAsia="微软雅黑" w:cs="宋体"/>
                <w:sz w:val="18"/>
                <w:szCs w:val="18"/>
              </w:rPr>
            </w:pPr>
            <w:r>
              <w:rPr>
                <w:rFonts w:hint="eastAsia" w:ascii="微软雅黑" w:hAnsi="微软雅黑" w:eastAsia="微软雅黑" w:cs="宋体"/>
                <w:sz w:val="18"/>
                <w:szCs w:val="18"/>
              </w:rPr>
              <w:t>8、内置4TB 3.5” SATA硬盘</w:t>
            </w:r>
          </w:p>
        </w:tc>
        <w:tc>
          <w:tcPr>
            <w:tcW w:w="603"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台</w:t>
            </w:r>
          </w:p>
        </w:tc>
        <w:tc>
          <w:tcPr>
            <w:tcW w:w="74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r>
      <w:tr>
        <w:tblPrEx>
          <w:tblCellMar>
            <w:top w:w="0" w:type="dxa"/>
            <w:left w:w="108" w:type="dxa"/>
            <w:bottom w:w="0" w:type="dxa"/>
            <w:right w:w="108" w:type="dxa"/>
          </w:tblCellMar>
        </w:tblPrEx>
        <w:trPr>
          <w:trHeight w:val="264" w:hRule="atLeast"/>
        </w:trPr>
        <w:tc>
          <w:tcPr>
            <w:tcW w:w="68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5</w:t>
            </w:r>
          </w:p>
        </w:tc>
        <w:tc>
          <w:tcPr>
            <w:tcW w:w="1307"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管理平台模块</w:t>
            </w:r>
          </w:p>
        </w:tc>
        <w:tc>
          <w:tcPr>
            <w:tcW w:w="11624" w:type="dxa"/>
            <w:tcBorders>
              <w:top w:val="nil"/>
              <w:left w:val="nil"/>
              <w:bottom w:val="single" w:color="auto" w:sz="4" w:space="0"/>
              <w:right w:val="single" w:color="auto" w:sz="4" w:space="0"/>
            </w:tcBorders>
            <w:shd w:val="clear" w:color="auto" w:fill="auto"/>
            <w:vAlign w:val="center"/>
          </w:tcPr>
          <w:p>
            <w:pPr>
              <w:widowControl/>
              <w:autoSpaceDE/>
              <w:autoSpaceDN/>
              <w:adjustRightInd/>
              <w:rPr>
                <w:rFonts w:ascii="微软雅黑" w:hAnsi="微软雅黑" w:eastAsia="微软雅黑" w:cs="宋体"/>
                <w:sz w:val="18"/>
                <w:szCs w:val="18"/>
              </w:rPr>
            </w:pPr>
            <w:r>
              <w:rPr>
                <w:rFonts w:hint="eastAsia" w:hAnsi="宋体" w:cs="宋体"/>
                <w:b/>
                <w:sz w:val="18"/>
                <w:szCs w:val="28"/>
              </w:rPr>
              <w:t>★</w:t>
            </w:r>
            <w:r>
              <w:rPr>
                <w:rFonts w:hint="eastAsia" w:ascii="微软雅黑" w:hAnsi="微软雅黑" w:eastAsia="微软雅黑" w:cs="宋体"/>
                <w:sz w:val="18"/>
                <w:szCs w:val="18"/>
              </w:rPr>
              <w:t>满足与广东科学中心现用管理平台相互兼容，并能够接入和管理现用的安检分析设备，投标人需做出相应承诺并加盖投标人公章。</w:t>
            </w:r>
          </w:p>
        </w:tc>
        <w:tc>
          <w:tcPr>
            <w:tcW w:w="603"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套</w:t>
            </w:r>
          </w:p>
        </w:tc>
        <w:tc>
          <w:tcPr>
            <w:tcW w:w="74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r>
      <w:tr>
        <w:tblPrEx>
          <w:tblCellMar>
            <w:top w:w="0" w:type="dxa"/>
            <w:left w:w="108" w:type="dxa"/>
            <w:bottom w:w="0" w:type="dxa"/>
            <w:right w:w="108" w:type="dxa"/>
          </w:tblCellMar>
        </w:tblPrEx>
        <w:trPr>
          <w:trHeight w:val="264" w:hRule="atLeast"/>
        </w:trPr>
        <w:tc>
          <w:tcPr>
            <w:tcW w:w="68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6</w:t>
            </w:r>
          </w:p>
        </w:tc>
        <w:tc>
          <w:tcPr>
            <w:tcW w:w="1307"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服务器调测</w:t>
            </w:r>
          </w:p>
        </w:tc>
        <w:tc>
          <w:tcPr>
            <w:tcW w:w="11624" w:type="dxa"/>
            <w:tcBorders>
              <w:top w:val="nil"/>
              <w:left w:val="nil"/>
              <w:bottom w:val="single" w:color="auto" w:sz="4" w:space="0"/>
              <w:right w:val="single" w:color="auto" w:sz="4" w:space="0"/>
            </w:tcBorders>
            <w:shd w:val="clear" w:color="auto" w:fill="auto"/>
            <w:vAlign w:val="center"/>
          </w:tcPr>
          <w:p>
            <w:pPr>
              <w:widowControl/>
              <w:autoSpaceDE/>
              <w:autoSpaceDN/>
              <w:adjustRightInd/>
              <w:rPr>
                <w:rFonts w:ascii="微软雅黑" w:hAnsi="微软雅黑" w:eastAsia="微软雅黑" w:cs="宋体"/>
                <w:sz w:val="18"/>
                <w:szCs w:val="18"/>
              </w:rPr>
            </w:pPr>
            <w:r>
              <w:rPr>
                <w:rFonts w:hint="eastAsia" w:ascii="微软雅黑" w:hAnsi="微软雅黑" w:eastAsia="微软雅黑" w:cs="宋体"/>
                <w:sz w:val="18"/>
                <w:szCs w:val="18"/>
              </w:rPr>
              <w:t>利用原有服务器资源进行调测，此处仅计列调测工作量</w:t>
            </w:r>
          </w:p>
        </w:tc>
        <w:tc>
          <w:tcPr>
            <w:tcW w:w="603"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项</w:t>
            </w:r>
          </w:p>
        </w:tc>
        <w:tc>
          <w:tcPr>
            <w:tcW w:w="74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ascii="微软雅黑" w:hAnsi="微软雅黑" w:eastAsia="微软雅黑" w:cs="宋体"/>
                <w:sz w:val="18"/>
                <w:szCs w:val="18"/>
              </w:rPr>
              <w:t>1</w:t>
            </w:r>
          </w:p>
        </w:tc>
      </w:tr>
      <w:tr>
        <w:tblPrEx>
          <w:tblCellMar>
            <w:top w:w="0" w:type="dxa"/>
            <w:left w:w="108" w:type="dxa"/>
            <w:bottom w:w="0" w:type="dxa"/>
            <w:right w:w="108" w:type="dxa"/>
          </w:tblCellMar>
        </w:tblPrEx>
        <w:trPr>
          <w:trHeight w:val="264" w:hRule="atLeast"/>
        </w:trPr>
        <w:tc>
          <w:tcPr>
            <w:tcW w:w="68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7</w:t>
            </w:r>
          </w:p>
        </w:tc>
        <w:tc>
          <w:tcPr>
            <w:tcW w:w="1307"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通信线缆</w:t>
            </w:r>
          </w:p>
        </w:tc>
        <w:tc>
          <w:tcPr>
            <w:tcW w:w="11624" w:type="dxa"/>
            <w:tcBorders>
              <w:top w:val="nil"/>
              <w:left w:val="nil"/>
              <w:bottom w:val="single" w:color="auto" w:sz="4" w:space="0"/>
              <w:right w:val="single" w:color="auto" w:sz="4" w:space="0"/>
            </w:tcBorders>
            <w:shd w:val="clear" w:color="auto" w:fill="auto"/>
            <w:vAlign w:val="center"/>
          </w:tcPr>
          <w:p>
            <w:pPr>
              <w:widowControl/>
              <w:autoSpaceDE/>
              <w:autoSpaceDN/>
              <w:adjustRightInd/>
              <w:rPr>
                <w:rFonts w:ascii="微软雅黑" w:hAnsi="微软雅黑" w:eastAsia="微软雅黑" w:cs="宋体"/>
                <w:sz w:val="18"/>
                <w:szCs w:val="18"/>
              </w:rPr>
            </w:pPr>
            <w:r>
              <w:rPr>
                <w:rFonts w:hint="eastAsia" w:ascii="微软雅黑" w:hAnsi="微软雅黑" w:eastAsia="微软雅黑" w:cs="宋体"/>
                <w:sz w:val="18"/>
                <w:szCs w:val="18"/>
              </w:rPr>
              <w:t>网线</w:t>
            </w:r>
          </w:p>
        </w:tc>
        <w:tc>
          <w:tcPr>
            <w:tcW w:w="603"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米</w:t>
            </w:r>
          </w:p>
        </w:tc>
        <w:tc>
          <w:tcPr>
            <w:tcW w:w="74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200</w:t>
            </w:r>
          </w:p>
        </w:tc>
      </w:tr>
      <w:tr>
        <w:tblPrEx>
          <w:tblCellMar>
            <w:top w:w="0" w:type="dxa"/>
            <w:left w:w="108" w:type="dxa"/>
            <w:bottom w:w="0" w:type="dxa"/>
            <w:right w:w="108" w:type="dxa"/>
          </w:tblCellMar>
        </w:tblPrEx>
        <w:trPr>
          <w:trHeight w:val="264" w:hRule="atLeast"/>
        </w:trPr>
        <w:tc>
          <w:tcPr>
            <w:tcW w:w="68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8</w:t>
            </w:r>
          </w:p>
        </w:tc>
        <w:tc>
          <w:tcPr>
            <w:tcW w:w="1307"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电源线缆</w:t>
            </w:r>
          </w:p>
        </w:tc>
        <w:tc>
          <w:tcPr>
            <w:tcW w:w="11624" w:type="dxa"/>
            <w:tcBorders>
              <w:top w:val="nil"/>
              <w:left w:val="nil"/>
              <w:bottom w:val="single" w:color="auto" w:sz="4" w:space="0"/>
              <w:right w:val="single" w:color="auto" w:sz="4" w:space="0"/>
            </w:tcBorders>
            <w:shd w:val="clear" w:color="auto" w:fill="auto"/>
            <w:vAlign w:val="center"/>
          </w:tcPr>
          <w:p>
            <w:pPr>
              <w:widowControl/>
              <w:autoSpaceDE/>
              <w:autoSpaceDN/>
              <w:adjustRightInd/>
              <w:rPr>
                <w:rFonts w:ascii="微软雅黑" w:hAnsi="微软雅黑" w:eastAsia="微软雅黑" w:cs="宋体"/>
                <w:sz w:val="18"/>
                <w:szCs w:val="18"/>
              </w:rPr>
            </w:pPr>
            <w:r>
              <w:rPr>
                <w:rFonts w:hint="eastAsia" w:ascii="微软雅黑" w:hAnsi="微软雅黑" w:eastAsia="微软雅黑" w:cs="宋体"/>
                <w:sz w:val="18"/>
                <w:szCs w:val="18"/>
              </w:rPr>
              <w:t>阻燃电缆</w:t>
            </w:r>
          </w:p>
        </w:tc>
        <w:tc>
          <w:tcPr>
            <w:tcW w:w="603"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米</w:t>
            </w:r>
          </w:p>
        </w:tc>
        <w:tc>
          <w:tcPr>
            <w:tcW w:w="74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200</w:t>
            </w:r>
          </w:p>
        </w:tc>
      </w:tr>
      <w:tr>
        <w:tblPrEx>
          <w:tblCellMar>
            <w:top w:w="0" w:type="dxa"/>
            <w:left w:w="108" w:type="dxa"/>
            <w:bottom w:w="0" w:type="dxa"/>
            <w:right w:w="108" w:type="dxa"/>
          </w:tblCellMar>
        </w:tblPrEx>
        <w:trPr>
          <w:trHeight w:val="264" w:hRule="atLeast"/>
        </w:trPr>
        <w:tc>
          <w:tcPr>
            <w:tcW w:w="68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9</w:t>
            </w:r>
          </w:p>
        </w:tc>
        <w:tc>
          <w:tcPr>
            <w:tcW w:w="1307"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管槽</w:t>
            </w:r>
          </w:p>
        </w:tc>
        <w:tc>
          <w:tcPr>
            <w:tcW w:w="11624" w:type="dxa"/>
            <w:tcBorders>
              <w:top w:val="nil"/>
              <w:left w:val="nil"/>
              <w:bottom w:val="single" w:color="auto" w:sz="4" w:space="0"/>
              <w:right w:val="single" w:color="auto" w:sz="4" w:space="0"/>
            </w:tcBorders>
            <w:shd w:val="clear" w:color="auto" w:fill="auto"/>
            <w:vAlign w:val="center"/>
          </w:tcPr>
          <w:p>
            <w:pPr>
              <w:widowControl/>
              <w:autoSpaceDE/>
              <w:autoSpaceDN/>
              <w:adjustRightInd/>
              <w:rPr>
                <w:rFonts w:ascii="微软雅黑" w:hAnsi="微软雅黑" w:eastAsia="微软雅黑" w:cs="宋体"/>
                <w:sz w:val="18"/>
                <w:szCs w:val="18"/>
              </w:rPr>
            </w:pPr>
            <w:r>
              <w:rPr>
                <w:rFonts w:hint="eastAsia" w:ascii="微软雅黑" w:hAnsi="微软雅黑" w:eastAsia="微软雅黑" w:cs="宋体"/>
                <w:sz w:val="18"/>
                <w:szCs w:val="18"/>
              </w:rPr>
              <w:t>镀锌管</w:t>
            </w:r>
          </w:p>
        </w:tc>
        <w:tc>
          <w:tcPr>
            <w:tcW w:w="603"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pPr>
            <w:r>
              <w:rPr>
                <w:rFonts w:hint="eastAsia" w:ascii="微软雅黑" w:hAnsi="微软雅黑" w:eastAsia="微软雅黑" w:cs="宋体"/>
                <w:sz w:val="18"/>
                <w:szCs w:val="18"/>
              </w:rPr>
              <w:t>米</w:t>
            </w:r>
          </w:p>
        </w:tc>
        <w:tc>
          <w:tcPr>
            <w:tcW w:w="74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180</w:t>
            </w:r>
          </w:p>
        </w:tc>
      </w:tr>
      <w:tr>
        <w:tblPrEx>
          <w:tblCellMar>
            <w:top w:w="0" w:type="dxa"/>
            <w:left w:w="108" w:type="dxa"/>
            <w:bottom w:w="0" w:type="dxa"/>
            <w:right w:w="108" w:type="dxa"/>
          </w:tblCellMar>
        </w:tblPrEx>
        <w:trPr>
          <w:trHeight w:val="264" w:hRule="atLeast"/>
        </w:trPr>
        <w:tc>
          <w:tcPr>
            <w:tcW w:w="68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10</w:t>
            </w:r>
          </w:p>
        </w:tc>
        <w:tc>
          <w:tcPr>
            <w:tcW w:w="1307"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线缆辅材</w:t>
            </w:r>
          </w:p>
        </w:tc>
        <w:tc>
          <w:tcPr>
            <w:tcW w:w="11624" w:type="dxa"/>
            <w:tcBorders>
              <w:top w:val="nil"/>
              <w:left w:val="nil"/>
              <w:bottom w:val="single" w:color="auto" w:sz="4" w:space="0"/>
              <w:right w:val="single" w:color="auto" w:sz="4" w:space="0"/>
            </w:tcBorders>
            <w:shd w:val="clear" w:color="auto" w:fill="auto"/>
            <w:vAlign w:val="center"/>
          </w:tcPr>
          <w:p>
            <w:pPr>
              <w:widowControl/>
              <w:autoSpaceDE/>
              <w:autoSpaceDN/>
              <w:adjustRightInd/>
              <w:rPr>
                <w:rFonts w:ascii="微软雅黑" w:hAnsi="微软雅黑" w:eastAsia="微软雅黑" w:cs="宋体"/>
                <w:sz w:val="18"/>
                <w:szCs w:val="18"/>
              </w:rPr>
            </w:pPr>
            <w:r>
              <w:rPr>
                <w:rFonts w:hint="eastAsia" w:ascii="微软雅黑" w:hAnsi="微软雅黑" w:eastAsia="微软雅黑" w:cs="宋体"/>
                <w:sz w:val="18"/>
                <w:szCs w:val="18"/>
              </w:rPr>
              <w:t>PVC定制HDMI线等辅材</w:t>
            </w:r>
          </w:p>
        </w:tc>
        <w:tc>
          <w:tcPr>
            <w:tcW w:w="603"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批</w:t>
            </w:r>
          </w:p>
        </w:tc>
        <w:tc>
          <w:tcPr>
            <w:tcW w:w="74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r>
    </w:tbl>
    <w:p>
      <w:pPr>
        <w:tabs>
          <w:tab w:val="left" w:pos="1239"/>
        </w:tabs>
        <w:rPr>
          <w:sz w:val="28"/>
          <w:szCs w:val="28"/>
        </w:rPr>
        <w:sectPr>
          <w:type w:val="nextColumn"/>
          <w:pgSz w:w="16840" w:h="11907" w:orient="landscape"/>
          <w:pgMar w:top="1418" w:right="1304" w:bottom="1843" w:left="1247" w:header="720" w:footer="720" w:gutter="0"/>
          <w:cols w:space="720" w:num="1"/>
        </w:sectPr>
      </w:pPr>
      <w:r>
        <w:rPr>
          <w:rFonts w:hint="eastAsia" w:hAnsi="宋体" w:cs="宋体"/>
          <w:b/>
          <w:sz w:val="28"/>
          <w:szCs w:val="28"/>
        </w:rPr>
        <w:t>供应商应提供</w:t>
      </w:r>
      <w:r>
        <w:rPr>
          <w:rFonts w:hint="eastAsia"/>
          <w:b/>
          <w:sz w:val="28"/>
          <w:szCs w:val="28"/>
        </w:rPr>
        <w:t>包括以上设备的包装、运输、安装、调试工作。</w:t>
      </w:r>
      <w:r>
        <w:rPr>
          <w:sz w:val="28"/>
          <w:szCs w:val="28"/>
        </w:rPr>
        <w:tab/>
      </w:r>
    </w:p>
    <w:p>
      <w:pPr>
        <w:pStyle w:val="3"/>
      </w:pPr>
      <w:bookmarkStart w:id="9" w:name="_Toc45048063"/>
      <w:r>
        <w:t>三、其他要求</w:t>
      </w:r>
      <w:bookmarkEnd w:id="9"/>
    </w:p>
    <w:p>
      <w:pPr>
        <w:spacing w:line="360" w:lineRule="auto"/>
        <w:ind w:firstLine="482" w:firstLineChars="200"/>
        <w:rPr>
          <w:rFonts w:ascii="Times New Roman"/>
          <w:b/>
        </w:rPr>
      </w:pPr>
      <w:bookmarkStart w:id="10" w:name="_Toc365993894"/>
      <w:r>
        <w:rPr>
          <w:rFonts w:ascii="Times New Roman"/>
          <w:b/>
        </w:rPr>
        <w:t>（一）项目建设原则</w:t>
      </w:r>
      <w:bookmarkEnd w:id="10"/>
    </w:p>
    <w:p>
      <w:pPr>
        <w:spacing w:line="360" w:lineRule="auto"/>
        <w:ind w:firstLine="480"/>
        <w:rPr>
          <w:rFonts w:ascii="Times New Roman"/>
        </w:rPr>
      </w:pPr>
      <w:r>
        <w:rPr>
          <w:rFonts w:ascii="Times New Roman"/>
        </w:rPr>
        <w:t>（1）可靠实用原则</w:t>
      </w:r>
    </w:p>
    <w:p>
      <w:pPr>
        <w:spacing w:line="360" w:lineRule="auto"/>
        <w:ind w:firstLine="480"/>
        <w:rPr>
          <w:rFonts w:ascii="Times New Roman"/>
        </w:rPr>
      </w:pPr>
      <w:r>
        <w:rPr>
          <w:rFonts w:ascii="Times New Roman"/>
        </w:rPr>
        <w:t>项目建设应可靠实用。系统设计必须考虑到广东科学中心节能管理的需要，项目涉及的</w:t>
      </w:r>
      <w:r>
        <w:rPr>
          <w:rFonts w:hint="eastAsia" w:ascii="Times New Roman"/>
        </w:rPr>
        <w:t>安全检查</w:t>
      </w:r>
      <w:r>
        <w:rPr>
          <w:rFonts w:ascii="Times New Roman"/>
        </w:rPr>
        <w:t>系统的软硬件环境必须有良好的可靠性。</w:t>
      </w:r>
    </w:p>
    <w:p>
      <w:pPr>
        <w:spacing w:line="360" w:lineRule="auto"/>
        <w:ind w:firstLine="480"/>
        <w:rPr>
          <w:rFonts w:ascii="Times New Roman"/>
        </w:rPr>
      </w:pPr>
      <w:r>
        <w:rPr>
          <w:rFonts w:ascii="Times New Roman"/>
        </w:rPr>
        <w:t>（2）易操作性原则</w:t>
      </w:r>
    </w:p>
    <w:p>
      <w:pPr>
        <w:spacing w:line="360" w:lineRule="auto"/>
        <w:ind w:firstLine="480"/>
        <w:rPr>
          <w:rFonts w:ascii="Times New Roman"/>
        </w:rPr>
      </w:pPr>
      <w:r>
        <w:rPr>
          <w:rFonts w:ascii="Times New Roman"/>
        </w:rPr>
        <w:t>体系建设应遵循易管理、易使用、易学习的原则。</w:t>
      </w:r>
    </w:p>
    <w:p>
      <w:pPr>
        <w:spacing w:line="360" w:lineRule="auto"/>
        <w:ind w:firstLine="480"/>
        <w:rPr>
          <w:rFonts w:ascii="Times New Roman"/>
        </w:rPr>
      </w:pPr>
      <w:r>
        <w:rPr>
          <w:rFonts w:ascii="Times New Roman"/>
        </w:rPr>
        <w:t>（3）一致性原则</w:t>
      </w:r>
    </w:p>
    <w:p>
      <w:pPr>
        <w:spacing w:line="360" w:lineRule="auto"/>
        <w:ind w:firstLine="480"/>
        <w:rPr>
          <w:rFonts w:ascii="Times New Roman"/>
        </w:rPr>
      </w:pPr>
      <w:r>
        <w:rPr>
          <w:rFonts w:ascii="Times New Roman"/>
        </w:rPr>
        <w:t>项目系统方案设计应遵循统一的标准，要确保各系统标准的一致性，系统间能安全地互联互通、信息共享。</w:t>
      </w:r>
    </w:p>
    <w:p>
      <w:pPr>
        <w:spacing w:line="360" w:lineRule="auto"/>
        <w:ind w:firstLine="480"/>
        <w:rPr>
          <w:rFonts w:ascii="Times New Roman"/>
        </w:rPr>
      </w:pPr>
      <w:r>
        <w:rPr>
          <w:rFonts w:ascii="Times New Roman"/>
        </w:rPr>
        <w:t>（4）可管理性和可维护性</w:t>
      </w:r>
    </w:p>
    <w:p>
      <w:pPr>
        <w:spacing w:line="360" w:lineRule="auto"/>
        <w:ind w:firstLine="480"/>
        <w:rPr>
          <w:rFonts w:ascii="Times New Roman"/>
        </w:rPr>
      </w:pPr>
      <w:r>
        <w:rPr>
          <w:rFonts w:ascii="Times New Roman"/>
        </w:rPr>
        <w:t>整个体系是由多个部分组成的复杂系统，为了便于系统的日常运行维护和管理，要求所选产品具有良好的可管理性和可维护性。</w:t>
      </w:r>
    </w:p>
    <w:p>
      <w:pPr>
        <w:spacing w:line="360" w:lineRule="auto"/>
        <w:ind w:firstLine="480"/>
        <w:rPr>
          <w:rFonts w:ascii="Times New Roman"/>
        </w:rPr>
      </w:pPr>
      <w:r>
        <w:rPr>
          <w:rFonts w:ascii="Times New Roman"/>
        </w:rPr>
        <w:t>（5）软件开放数据通信接口</w:t>
      </w:r>
    </w:p>
    <w:p>
      <w:pPr>
        <w:spacing w:line="360" w:lineRule="auto"/>
        <w:ind w:firstLine="480"/>
        <w:rPr>
          <w:rFonts w:ascii="Times New Roman"/>
        </w:rPr>
      </w:pPr>
      <w:r>
        <w:rPr>
          <w:rFonts w:ascii="Times New Roman"/>
        </w:rPr>
        <w:t>系统软件需开放数据通信接口，便于对接其他软件系统平台。</w:t>
      </w:r>
    </w:p>
    <w:p>
      <w:pPr>
        <w:spacing w:line="360" w:lineRule="auto"/>
        <w:ind w:firstLine="482" w:firstLineChars="200"/>
        <w:rPr>
          <w:rFonts w:ascii="Times New Roman"/>
          <w:b/>
        </w:rPr>
      </w:pPr>
      <w:bookmarkStart w:id="11" w:name="_Toc365993896"/>
      <w:bookmarkStart w:id="12" w:name="_Toc347745314"/>
      <w:r>
        <w:rPr>
          <w:rFonts w:ascii="Times New Roman"/>
          <w:b/>
        </w:rPr>
        <w:t>（二）设备安装要求</w:t>
      </w:r>
      <w:bookmarkEnd w:id="11"/>
      <w:bookmarkEnd w:id="12"/>
    </w:p>
    <w:p>
      <w:pPr>
        <w:spacing w:line="360" w:lineRule="auto"/>
        <w:ind w:firstLine="420"/>
        <w:rPr>
          <w:rFonts w:ascii="Times New Roman"/>
        </w:rPr>
      </w:pPr>
      <w:r>
        <w:rPr>
          <w:rFonts w:ascii="Times New Roman"/>
        </w:rPr>
        <w:t>（1）若实施需新增线槽，线槽敷设根据原有线槽布置情况确定设备位置；</w:t>
      </w:r>
    </w:p>
    <w:p>
      <w:pPr>
        <w:spacing w:line="360" w:lineRule="auto"/>
        <w:ind w:firstLine="420"/>
        <w:rPr>
          <w:rFonts w:ascii="Times New Roman"/>
        </w:rPr>
      </w:pPr>
      <w:r>
        <w:rPr>
          <w:rFonts w:ascii="Times New Roman"/>
        </w:rPr>
        <w:t>（2）新增线槽和线管，应满足规范及相关标准的防火要求；</w:t>
      </w:r>
    </w:p>
    <w:p>
      <w:pPr>
        <w:spacing w:line="360" w:lineRule="auto"/>
        <w:ind w:firstLine="482" w:firstLineChars="200"/>
        <w:rPr>
          <w:rFonts w:ascii="Times New Roman"/>
          <w:b/>
        </w:rPr>
      </w:pPr>
      <w:bookmarkStart w:id="13" w:name="_Toc347745323"/>
      <w:bookmarkStart w:id="14" w:name="_Toc365993897"/>
      <w:r>
        <w:rPr>
          <w:rFonts w:ascii="Times New Roman"/>
          <w:b/>
        </w:rPr>
        <w:t>（三）项目实施</w:t>
      </w:r>
      <w:bookmarkEnd w:id="13"/>
      <w:bookmarkEnd w:id="14"/>
      <w:r>
        <w:rPr>
          <w:rFonts w:ascii="Times New Roman"/>
          <w:b/>
        </w:rPr>
        <w:t>要求</w:t>
      </w:r>
    </w:p>
    <w:p>
      <w:pPr>
        <w:tabs>
          <w:tab w:val="left" w:pos="728"/>
        </w:tabs>
        <w:spacing w:line="360" w:lineRule="auto"/>
        <w:ind w:firstLine="480" w:firstLineChars="200"/>
        <w:rPr>
          <w:rFonts w:ascii="Times New Roman"/>
        </w:rPr>
      </w:pPr>
      <w:r>
        <w:rPr>
          <w:rFonts w:ascii="Times New Roman"/>
        </w:rPr>
        <w:t>（1）中标人、广东科学中心应共同组建项目建设小组，总体人员配备方案科学、合理。供应商须明确本项目开发实施队伍的人员架构、数量、技术实力及职责分工，并保证人员的数量、质量和人员的稳定性、连续性。</w:t>
      </w:r>
    </w:p>
    <w:p>
      <w:pPr>
        <w:tabs>
          <w:tab w:val="left" w:pos="728"/>
        </w:tabs>
        <w:spacing w:line="360" w:lineRule="auto"/>
        <w:ind w:firstLine="480" w:firstLineChars="200"/>
        <w:rPr>
          <w:rFonts w:ascii="Times New Roman"/>
        </w:rPr>
      </w:pPr>
      <w:r>
        <w:rPr>
          <w:rFonts w:ascii="Times New Roman"/>
        </w:rPr>
        <w:t>（2）中标人必须提出对项目的建设进行科学严格的管理方案与措施，使项目有系统计划、有序组织、科学指导和有效控制，促进项目全面顺利实施。在实施计划的基础上，方案中应进一步明确和细化每个阶段的工作范围、内容、过程、责任、交付成果等。</w:t>
      </w:r>
    </w:p>
    <w:p>
      <w:pPr>
        <w:tabs>
          <w:tab w:val="left" w:pos="728"/>
        </w:tabs>
        <w:spacing w:line="360" w:lineRule="auto"/>
        <w:ind w:firstLine="480" w:firstLineChars="200"/>
        <w:rPr>
          <w:rFonts w:ascii="Times New Roman"/>
        </w:rPr>
      </w:pPr>
      <w:r>
        <w:rPr>
          <w:rFonts w:ascii="Times New Roman"/>
        </w:rPr>
        <w:t>（3）中标人应对项目全生命周期进行严格、规范的项目管理控制，包括项目范围、风险、进度、质量、变更管理控制。</w:t>
      </w:r>
    </w:p>
    <w:p>
      <w:pPr>
        <w:tabs>
          <w:tab w:val="left" w:pos="728"/>
        </w:tabs>
        <w:spacing w:line="360" w:lineRule="auto"/>
        <w:ind w:firstLine="480" w:firstLineChars="200"/>
        <w:rPr>
          <w:rFonts w:ascii="Times New Roman"/>
        </w:rPr>
      </w:pPr>
      <w:r>
        <w:rPr>
          <w:rFonts w:ascii="Times New Roman"/>
        </w:rPr>
        <w:t>（4）中标人在项目服务完毕后应及时对现场进行修复，如有必要改动现场原有设备、建筑结构的，应提前以书面方式向甲方相关负责人员申报，批准后方可实施。</w:t>
      </w:r>
      <w:bookmarkEnd w:id="2"/>
    </w:p>
    <w:p>
      <w:pPr>
        <w:tabs>
          <w:tab w:val="left" w:pos="728"/>
        </w:tabs>
        <w:spacing w:line="360" w:lineRule="auto"/>
        <w:ind w:firstLine="482" w:firstLineChars="200"/>
        <w:rPr>
          <w:rFonts w:ascii="Times New Roman"/>
          <w:b/>
        </w:rPr>
      </w:pPr>
      <w:r>
        <w:rPr>
          <w:rFonts w:hint="eastAsia" w:ascii="Times New Roman"/>
          <w:b/>
        </w:rPr>
        <w:t>（5）</w:t>
      </w:r>
      <w:r>
        <w:rPr>
          <w:rFonts w:hint="eastAsia" w:ascii="Times New Roman"/>
          <w:szCs w:val="21"/>
          <w:lang w:val="zh-CN"/>
        </w:rPr>
        <w:t>★</w:t>
      </w:r>
      <w:r>
        <w:rPr>
          <w:rFonts w:hint="eastAsia" w:ascii="Times New Roman"/>
          <w:b/>
        </w:rPr>
        <w:t>为了避免分散建设，重复投资，报价单位报价产品须实现兼容接入广东科学中心现有的安防管理平台（现平台为海康威视 iSecure Center综合安防管理平台），并能完整实现平台所载的功能，达到统一管理效果。报价单位须提供与原有综合安防管理平台兼容接入的承诺函，中标后如在合同实施阶段出现报价产品无法满足招标要求或无法兼容现有综合管理平台的，则必须在限定时间内负责调试至完全满足、完全兼容为止，限定时间内仍无法满足或兼容的，采购人将拒绝验收并追究中标人合同违约及违反采购法相关责任。</w:t>
      </w:r>
    </w:p>
    <w:p>
      <w:pPr>
        <w:tabs>
          <w:tab w:val="left" w:pos="728"/>
        </w:tabs>
        <w:spacing w:line="360" w:lineRule="auto"/>
        <w:ind w:firstLine="480" w:firstLineChars="200"/>
        <w:rPr>
          <w:rFonts w:ascii="Times New Roman"/>
        </w:rPr>
      </w:pPr>
      <w:r>
        <w:rPr>
          <w:rFonts w:hint="eastAsia" w:ascii="Times New Roman"/>
        </w:rPr>
        <w:t>（6）为确保供应商能更好的履约，保证货物来源的正当性、供货的及时性及货物的品质和质量符合要求，报价单位需在中标后约定时间内</w:t>
      </w:r>
      <w:r>
        <w:rPr>
          <w:rFonts w:hint="eastAsia" w:hAnsi="宋体" w:cs="黑体"/>
        </w:rPr>
        <w:t>提供设备（智能安检门、安检机、安检机分析仪）制造商对本项目开具的供货</w:t>
      </w:r>
      <w:r>
        <w:rPr>
          <w:rFonts w:hint="eastAsia" w:ascii="Times New Roman"/>
        </w:rPr>
        <w:t>承诺函</w:t>
      </w:r>
      <w:r>
        <w:rPr>
          <w:rFonts w:hint="eastAsia" w:ascii="Times New Roman"/>
          <w:b/>
        </w:rPr>
        <w:t>。</w:t>
      </w:r>
    </w:p>
    <w:p>
      <w:pPr>
        <w:tabs>
          <w:tab w:val="left" w:pos="728"/>
        </w:tabs>
        <w:spacing w:line="360" w:lineRule="auto"/>
        <w:ind w:firstLine="480" w:firstLineChars="200"/>
        <w:rPr>
          <w:rFonts w:ascii="Times New Roman"/>
        </w:rPr>
      </w:pPr>
      <w:r>
        <w:rPr>
          <w:rFonts w:hint="eastAsia" w:ascii="Times New Roman"/>
        </w:rPr>
        <w:t>（7）免费质保期，自通过验收交付之日起计不少于12个月，智能安检门、智能安检机套装、安检智能分析仪要求提供原厂保修服务承诺函</w:t>
      </w:r>
      <w:r>
        <w:rPr>
          <w:rFonts w:hint="eastAsia" w:ascii="Times New Roman"/>
          <w:b/>
        </w:rPr>
        <w:t>（加盖厂商的公章或专用章）</w:t>
      </w:r>
      <w:r>
        <w:rPr>
          <w:rFonts w:hint="eastAsia" w:ascii="Times New Roman"/>
        </w:rPr>
        <w:t>。</w:t>
      </w:r>
    </w:p>
    <w:sectPr>
      <w:pgSz w:w="11907" w:h="16840"/>
      <w:pgMar w:top="1304" w:right="1843" w:bottom="1247"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05617C49"/>
    <w:multiLevelType w:val="multilevel"/>
    <w:tmpl w:val="05617C49"/>
    <w:lvl w:ilvl="0" w:tentative="0">
      <w:start w:val="1"/>
      <w:numFmt w:val="decimal"/>
      <w:pStyle w:val="38"/>
      <w:suff w:val="space"/>
      <w:lvlText w:val="%1."/>
      <w:lvlJc w:val="left"/>
      <w:pPr>
        <w:ind w:left="0" w:firstLine="0"/>
      </w:pPr>
      <w:rPr>
        <w:rFonts w:hint="default"/>
      </w:rPr>
    </w:lvl>
    <w:lvl w:ilvl="1" w:tentative="0">
      <w:start w:val="1"/>
      <w:numFmt w:val="decimal"/>
      <w:pStyle w:val="39"/>
      <w:isLgl/>
      <w:suff w:val="space"/>
      <w:lvlText w:val="%1.%2."/>
      <w:lvlJc w:val="left"/>
      <w:pPr>
        <w:ind w:left="0" w:firstLine="0"/>
      </w:pPr>
      <w:rPr>
        <w:rFonts w:hint="default"/>
      </w:rPr>
    </w:lvl>
    <w:lvl w:ilvl="2" w:tentative="0">
      <w:start w:val="1"/>
      <w:numFmt w:val="decimal"/>
      <w:pStyle w:val="40"/>
      <w:isLgl/>
      <w:suff w:val="space"/>
      <w:lvlText w:val="%1.%2.%3."/>
      <w:lvlJc w:val="left"/>
      <w:pPr>
        <w:ind w:left="0" w:firstLine="0"/>
      </w:pPr>
      <w:rPr>
        <w:rFonts w:hint="default"/>
      </w:rPr>
    </w:lvl>
    <w:lvl w:ilvl="3" w:tentative="0">
      <w:start w:val="1"/>
      <w:numFmt w:val="decimal"/>
      <w:pStyle w:val="41"/>
      <w:isLgl/>
      <w:suff w:val="space"/>
      <w:lvlText w:val="%1.%2.%3.%4."/>
      <w:lvlJc w:val="left"/>
      <w:pPr>
        <w:ind w:left="0" w:firstLine="0"/>
      </w:pPr>
      <w:rPr>
        <w:rFonts w:hint="default"/>
      </w:rPr>
    </w:lvl>
    <w:lvl w:ilvl="4" w:tentative="0">
      <w:start w:val="1"/>
      <w:numFmt w:val="decimal"/>
      <w:pStyle w:val="42"/>
      <w:isLgl/>
      <w:suff w:val="space"/>
      <w:lvlText w:val="%1.%2.%3.%4.%5."/>
      <w:lvlJc w:val="left"/>
      <w:pPr>
        <w:ind w:left="0" w:firstLine="0"/>
      </w:pPr>
      <w:rPr>
        <w:rFonts w:hint="default"/>
      </w:rPr>
    </w:lvl>
    <w:lvl w:ilvl="5" w:tentative="0">
      <w:start w:val="1"/>
      <w:numFmt w:val="decimal"/>
      <w:pStyle w:val="43"/>
      <w:isLgl/>
      <w:suff w:val="space"/>
      <w:lvlText w:val="(%6)"/>
      <w:lvlJc w:val="left"/>
      <w:pPr>
        <w:ind w:left="0" w:firstLine="0"/>
      </w:pPr>
      <w:rPr>
        <w:rFonts w:hint="default"/>
      </w:rPr>
    </w:lvl>
    <w:lvl w:ilvl="6" w:tentative="0">
      <w:start w:val="1"/>
      <w:numFmt w:val="decimal"/>
      <w:pStyle w:val="44"/>
      <w:isLgl/>
      <w:suff w:val="space"/>
      <w:lvlText w:val="%7)"/>
      <w:lvlJc w:val="left"/>
      <w:pPr>
        <w:ind w:left="0" w:firstLine="0"/>
      </w:pPr>
      <w:rPr>
        <w:rFonts w:hint="default"/>
      </w:rPr>
    </w:lvl>
    <w:lvl w:ilvl="7" w:tentative="0">
      <w:start w:val="1"/>
      <w:numFmt w:val="upperLetter"/>
      <w:pStyle w:val="45"/>
      <w:suff w:val="space"/>
      <w:lvlText w:val="%8"/>
      <w:lvlJc w:val="left"/>
      <w:pPr>
        <w:ind w:left="0" w:firstLine="0"/>
      </w:pPr>
      <w:rPr>
        <w:rFonts w:hint="eastAsia"/>
      </w:rPr>
    </w:lvl>
    <w:lvl w:ilvl="8" w:tentative="0">
      <w:start w:val="1"/>
      <w:numFmt w:val="lowerLetter"/>
      <w:pStyle w:val="46"/>
      <w:suff w:val="space"/>
      <w:lvlText w:val="%9"/>
      <w:lvlJc w:val="left"/>
      <w:pPr>
        <w:ind w:left="0" w:firstLine="0"/>
      </w:pPr>
      <w:rPr>
        <w:rFonts w:hint="default"/>
      </w:rPr>
    </w:lvl>
  </w:abstractNum>
  <w:abstractNum w:abstractNumId="1">
    <w:nsid w:val="455D4C85"/>
    <w:multiLevelType w:val="multilevel"/>
    <w:tmpl w:val="455D4C85"/>
    <w:lvl w:ilvl="0" w:tentative="0">
      <w:start w:val="1"/>
      <w:numFmt w:val="bullet"/>
      <w:lvlText w:val=""/>
      <w:lvlPicBulletId w:val="0"/>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kYWI0ZDlhNGQ4ZDljZTAyZjEzOWVkY2U0YmMwMzAifQ=="/>
    <w:docVar w:name="KSO_WPS_MARK_KEY" w:val="71f064e9-2577-4235-aaf5-603d2cbf64c0"/>
  </w:docVars>
  <w:rsids>
    <w:rsidRoot w:val="00172A27"/>
    <w:rsid w:val="00003602"/>
    <w:rsid w:val="00004DC1"/>
    <w:rsid w:val="000062B1"/>
    <w:rsid w:val="00006637"/>
    <w:rsid w:val="000067DF"/>
    <w:rsid w:val="00011E88"/>
    <w:rsid w:val="000135DF"/>
    <w:rsid w:val="00015B6D"/>
    <w:rsid w:val="00015DE0"/>
    <w:rsid w:val="000214A2"/>
    <w:rsid w:val="00026A91"/>
    <w:rsid w:val="000275BF"/>
    <w:rsid w:val="00032442"/>
    <w:rsid w:val="00036EAB"/>
    <w:rsid w:val="00042BAF"/>
    <w:rsid w:val="00043C7D"/>
    <w:rsid w:val="00043FDA"/>
    <w:rsid w:val="00052A36"/>
    <w:rsid w:val="00056A37"/>
    <w:rsid w:val="000610E2"/>
    <w:rsid w:val="000614EA"/>
    <w:rsid w:val="00062868"/>
    <w:rsid w:val="00063503"/>
    <w:rsid w:val="000703B7"/>
    <w:rsid w:val="000828C6"/>
    <w:rsid w:val="0008389D"/>
    <w:rsid w:val="0008511E"/>
    <w:rsid w:val="00085C1A"/>
    <w:rsid w:val="000874F5"/>
    <w:rsid w:val="00092179"/>
    <w:rsid w:val="00092FF7"/>
    <w:rsid w:val="00094721"/>
    <w:rsid w:val="000A1A5E"/>
    <w:rsid w:val="000A29E6"/>
    <w:rsid w:val="000A372E"/>
    <w:rsid w:val="000A383D"/>
    <w:rsid w:val="000A48A3"/>
    <w:rsid w:val="000B16D5"/>
    <w:rsid w:val="000B2BA8"/>
    <w:rsid w:val="000C07D0"/>
    <w:rsid w:val="000C3AEE"/>
    <w:rsid w:val="000C4626"/>
    <w:rsid w:val="000C7C45"/>
    <w:rsid w:val="000D13A8"/>
    <w:rsid w:val="000D7E1F"/>
    <w:rsid w:val="000E0A51"/>
    <w:rsid w:val="000E2D2E"/>
    <w:rsid w:val="000E42BF"/>
    <w:rsid w:val="000F04DD"/>
    <w:rsid w:val="000F31CD"/>
    <w:rsid w:val="000F6C96"/>
    <w:rsid w:val="00115E60"/>
    <w:rsid w:val="00117A57"/>
    <w:rsid w:val="00120C2F"/>
    <w:rsid w:val="0012398D"/>
    <w:rsid w:val="00126D3A"/>
    <w:rsid w:val="0013551E"/>
    <w:rsid w:val="00137640"/>
    <w:rsid w:val="00137CBB"/>
    <w:rsid w:val="00142AD6"/>
    <w:rsid w:val="001448CA"/>
    <w:rsid w:val="001467E1"/>
    <w:rsid w:val="001477A0"/>
    <w:rsid w:val="00150108"/>
    <w:rsid w:val="001508F7"/>
    <w:rsid w:val="00151275"/>
    <w:rsid w:val="00163149"/>
    <w:rsid w:val="00163B6B"/>
    <w:rsid w:val="001706A9"/>
    <w:rsid w:val="00171047"/>
    <w:rsid w:val="00172A27"/>
    <w:rsid w:val="00172AFD"/>
    <w:rsid w:val="001742B2"/>
    <w:rsid w:val="00175227"/>
    <w:rsid w:val="00181514"/>
    <w:rsid w:val="00181EAD"/>
    <w:rsid w:val="00183D32"/>
    <w:rsid w:val="0018485F"/>
    <w:rsid w:val="00184FF0"/>
    <w:rsid w:val="0019006A"/>
    <w:rsid w:val="00190CD7"/>
    <w:rsid w:val="00193248"/>
    <w:rsid w:val="001944E6"/>
    <w:rsid w:val="001946A3"/>
    <w:rsid w:val="0019750A"/>
    <w:rsid w:val="001A0F03"/>
    <w:rsid w:val="001A1F3D"/>
    <w:rsid w:val="001A607C"/>
    <w:rsid w:val="001B2A59"/>
    <w:rsid w:val="001B431C"/>
    <w:rsid w:val="001B675C"/>
    <w:rsid w:val="001B7650"/>
    <w:rsid w:val="001B7BAE"/>
    <w:rsid w:val="001C37DD"/>
    <w:rsid w:val="001C6EE6"/>
    <w:rsid w:val="001D524D"/>
    <w:rsid w:val="001D5444"/>
    <w:rsid w:val="001D5BE8"/>
    <w:rsid w:val="001D6A94"/>
    <w:rsid w:val="001D7CB7"/>
    <w:rsid w:val="001E1D7A"/>
    <w:rsid w:val="001E6CD7"/>
    <w:rsid w:val="001E6F53"/>
    <w:rsid w:val="001F33F7"/>
    <w:rsid w:val="001F3743"/>
    <w:rsid w:val="001F5BE5"/>
    <w:rsid w:val="00202B60"/>
    <w:rsid w:val="0020789D"/>
    <w:rsid w:val="00210A0E"/>
    <w:rsid w:val="002129B0"/>
    <w:rsid w:val="00215280"/>
    <w:rsid w:val="00217640"/>
    <w:rsid w:val="00220665"/>
    <w:rsid w:val="00221DA0"/>
    <w:rsid w:val="00222E0F"/>
    <w:rsid w:val="002324B6"/>
    <w:rsid w:val="002351FD"/>
    <w:rsid w:val="00235933"/>
    <w:rsid w:val="00236AE2"/>
    <w:rsid w:val="002378A1"/>
    <w:rsid w:val="00240335"/>
    <w:rsid w:val="00240A72"/>
    <w:rsid w:val="002410CA"/>
    <w:rsid w:val="0024174A"/>
    <w:rsid w:val="00243F8E"/>
    <w:rsid w:val="002508A9"/>
    <w:rsid w:val="002513C2"/>
    <w:rsid w:val="0025259D"/>
    <w:rsid w:val="00253030"/>
    <w:rsid w:val="002559BE"/>
    <w:rsid w:val="00256916"/>
    <w:rsid w:val="0026269E"/>
    <w:rsid w:val="00262F22"/>
    <w:rsid w:val="00263A3B"/>
    <w:rsid w:val="0026653C"/>
    <w:rsid w:val="00274DA8"/>
    <w:rsid w:val="00275493"/>
    <w:rsid w:val="0027699C"/>
    <w:rsid w:val="00276F08"/>
    <w:rsid w:val="00280A57"/>
    <w:rsid w:val="00282709"/>
    <w:rsid w:val="0028372A"/>
    <w:rsid w:val="00287D70"/>
    <w:rsid w:val="002900FD"/>
    <w:rsid w:val="0029039B"/>
    <w:rsid w:val="002904D2"/>
    <w:rsid w:val="00292FC0"/>
    <w:rsid w:val="00296CFF"/>
    <w:rsid w:val="002A0660"/>
    <w:rsid w:val="002A0740"/>
    <w:rsid w:val="002A1953"/>
    <w:rsid w:val="002A1B93"/>
    <w:rsid w:val="002A2755"/>
    <w:rsid w:val="002A2A37"/>
    <w:rsid w:val="002A43C8"/>
    <w:rsid w:val="002B017E"/>
    <w:rsid w:val="002B0968"/>
    <w:rsid w:val="002B2021"/>
    <w:rsid w:val="002B21AA"/>
    <w:rsid w:val="002B2891"/>
    <w:rsid w:val="002B604B"/>
    <w:rsid w:val="002C4428"/>
    <w:rsid w:val="002C7A52"/>
    <w:rsid w:val="002D0315"/>
    <w:rsid w:val="002D459D"/>
    <w:rsid w:val="002D479C"/>
    <w:rsid w:val="002D623F"/>
    <w:rsid w:val="002E1FE5"/>
    <w:rsid w:val="002E28C4"/>
    <w:rsid w:val="002E4CA9"/>
    <w:rsid w:val="002E75CF"/>
    <w:rsid w:val="002E7B15"/>
    <w:rsid w:val="002F1A67"/>
    <w:rsid w:val="00301662"/>
    <w:rsid w:val="003031E2"/>
    <w:rsid w:val="003047BA"/>
    <w:rsid w:val="00304F75"/>
    <w:rsid w:val="0030727A"/>
    <w:rsid w:val="00316240"/>
    <w:rsid w:val="00320E80"/>
    <w:rsid w:val="00322EA6"/>
    <w:rsid w:val="00323558"/>
    <w:rsid w:val="00325AEB"/>
    <w:rsid w:val="0032723F"/>
    <w:rsid w:val="00330A1B"/>
    <w:rsid w:val="00332D51"/>
    <w:rsid w:val="00333649"/>
    <w:rsid w:val="003409E5"/>
    <w:rsid w:val="0034228C"/>
    <w:rsid w:val="00346FF2"/>
    <w:rsid w:val="0034749A"/>
    <w:rsid w:val="0035201E"/>
    <w:rsid w:val="003566D6"/>
    <w:rsid w:val="00367FD8"/>
    <w:rsid w:val="00374395"/>
    <w:rsid w:val="003757D5"/>
    <w:rsid w:val="00377BA5"/>
    <w:rsid w:val="00384A23"/>
    <w:rsid w:val="0038682E"/>
    <w:rsid w:val="00397B57"/>
    <w:rsid w:val="00397CCA"/>
    <w:rsid w:val="00397D16"/>
    <w:rsid w:val="003A2274"/>
    <w:rsid w:val="003A39EA"/>
    <w:rsid w:val="003A3E62"/>
    <w:rsid w:val="003B1A07"/>
    <w:rsid w:val="003B31ED"/>
    <w:rsid w:val="003B39B0"/>
    <w:rsid w:val="003B50DB"/>
    <w:rsid w:val="003B63AC"/>
    <w:rsid w:val="003C3589"/>
    <w:rsid w:val="003C4826"/>
    <w:rsid w:val="003C48A6"/>
    <w:rsid w:val="003C7EFB"/>
    <w:rsid w:val="003D2A89"/>
    <w:rsid w:val="003D2C01"/>
    <w:rsid w:val="003D37BA"/>
    <w:rsid w:val="003D4327"/>
    <w:rsid w:val="003D5C9C"/>
    <w:rsid w:val="003D77FD"/>
    <w:rsid w:val="003E08C7"/>
    <w:rsid w:val="003E3C9B"/>
    <w:rsid w:val="003E7ED5"/>
    <w:rsid w:val="003E7F5D"/>
    <w:rsid w:val="003F1DC1"/>
    <w:rsid w:val="003F1E68"/>
    <w:rsid w:val="003F378F"/>
    <w:rsid w:val="004002B7"/>
    <w:rsid w:val="00401BB1"/>
    <w:rsid w:val="00401BED"/>
    <w:rsid w:val="004029EF"/>
    <w:rsid w:val="0040364C"/>
    <w:rsid w:val="004038B5"/>
    <w:rsid w:val="0040799E"/>
    <w:rsid w:val="00407F25"/>
    <w:rsid w:val="004133E3"/>
    <w:rsid w:val="0042059E"/>
    <w:rsid w:val="0042104F"/>
    <w:rsid w:val="00422232"/>
    <w:rsid w:val="0042531B"/>
    <w:rsid w:val="00430777"/>
    <w:rsid w:val="0043479B"/>
    <w:rsid w:val="00436840"/>
    <w:rsid w:val="00437DEF"/>
    <w:rsid w:val="00440E02"/>
    <w:rsid w:val="004437CD"/>
    <w:rsid w:val="00452450"/>
    <w:rsid w:val="00454698"/>
    <w:rsid w:val="00454E6F"/>
    <w:rsid w:val="00462EB2"/>
    <w:rsid w:val="00465785"/>
    <w:rsid w:val="00467B45"/>
    <w:rsid w:val="00470396"/>
    <w:rsid w:val="0047065F"/>
    <w:rsid w:val="004721E0"/>
    <w:rsid w:val="004723A6"/>
    <w:rsid w:val="00476F97"/>
    <w:rsid w:val="00481809"/>
    <w:rsid w:val="004878E4"/>
    <w:rsid w:val="00491BF4"/>
    <w:rsid w:val="004923F0"/>
    <w:rsid w:val="004928CC"/>
    <w:rsid w:val="004937F9"/>
    <w:rsid w:val="004A1A06"/>
    <w:rsid w:val="004A4565"/>
    <w:rsid w:val="004B0A2A"/>
    <w:rsid w:val="004B704C"/>
    <w:rsid w:val="004C2EAE"/>
    <w:rsid w:val="004C34D7"/>
    <w:rsid w:val="004C4AF0"/>
    <w:rsid w:val="004C6182"/>
    <w:rsid w:val="004C6188"/>
    <w:rsid w:val="004C7D40"/>
    <w:rsid w:val="004D5574"/>
    <w:rsid w:val="004E3707"/>
    <w:rsid w:val="004F07FE"/>
    <w:rsid w:val="004F0E0E"/>
    <w:rsid w:val="004F4482"/>
    <w:rsid w:val="004F4895"/>
    <w:rsid w:val="004F53C8"/>
    <w:rsid w:val="004F5921"/>
    <w:rsid w:val="004F635A"/>
    <w:rsid w:val="005002C4"/>
    <w:rsid w:val="00503664"/>
    <w:rsid w:val="00506270"/>
    <w:rsid w:val="005127A7"/>
    <w:rsid w:val="005146F2"/>
    <w:rsid w:val="00520CF4"/>
    <w:rsid w:val="005217DB"/>
    <w:rsid w:val="00521A7A"/>
    <w:rsid w:val="00521BDE"/>
    <w:rsid w:val="00522136"/>
    <w:rsid w:val="00523A67"/>
    <w:rsid w:val="00523B3F"/>
    <w:rsid w:val="00530CF0"/>
    <w:rsid w:val="005318CB"/>
    <w:rsid w:val="005332D5"/>
    <w:rsid w:val="00543A71"/>
    <w:rsid w:val="00547E1D"/>
    <w:rsid w:val="00551DBE"/>
    <w:rsid w:val="0055269D"/>
    <w:rsid w:val="00554A1E"/>
    <w:rsid w:val="00555E2E"/>
    <w:rsid w:val="00556009"/>
    <w:rsid w:val="005562BC"/>
    <w:rsid w:val="00557033"/>
    <w:rsid w:val="00557DE8"/>
    <w:rsid w:val="00565F8A"/>
    <w:rsid w:val="00570F59"/>
    <w:rsid w:val="005752B2"/>
    <w:rsid w:val="005779DF"/>
    <w:rsid w:val="005831B6"/>
    <w:rsid w:val="0058656D"/>
    <w:rsid w:val="00586D7A"/>
    <w:rsid w:val="005903D3"/>
    <w:rsid w:val="00594C46"/>
    <w:rsid w:val="005963A6"/>
    <w:rsid w:val="00596B8A"/>
    <w:rsid w:val="00597DBE"/>
    <w:rsid w:val="005A2755"/>
    <w:rsid w:val="005A4171"/>
    <w:rsid w:val="005A52E1"/>
    <w:rsid w:val="005A7698"/>
    <w:rsid w:val="005B1CDC"/>
    <w:rsid w:val="005B23FC"/>
    <w:rsid w:val="005B2C68"/>
    <w:rsid w:val="005B2F53"/>
    <w:rsid w:val="005B3274"/>
    <w:rsid w:val="005B4120"/>
    <w:rsid w:val="005B4960"/>
    <w:rsid w:val="005B5EC4"/>
    <w:rsid w:val="005C5515"/>
    <w:rsid w:val="005C601C"/>
    <w:rsid w:val="005D0BBA"/>
    <w:rsid w:val="005D139F"/>
    <w:rsid w:val="005D773E"/>
    <w:rsid w:val="005E0AA2"/>
    <w:rsid w:val="005E4ACC"/>
    <w:rsid w:val="005F08C0"/>
    <w:rsid w:val="005F4CB0"/>
    <w:rsid w:val="00602513"/>
    <w:rsid w:val="0060275A"/>
    <w:rsid w:val="006029AF"/>
    <w:rsid w:val="00602E78"/>
    <w:rsid w:val="00604BCC"/>
    <w:rsid w:val="00607122"/>
    <w:rsid w:val="0060739E"/>
    <w:rsid w:val="00611C50"/>
    <w:rsid w:val="006125F3"/>
    <w:rsid w:val="0061346B"/>
    <w:rsid w:val="00613A7A"/>
    <w:rsid w:val="00614DD2"/>
    <w:rsid w:val="00620358"/>
    <w:rsid w:val="006223FD"/>
    <w:rsid w:val="00623EED"/>
    <w:rsid w:val="00624C3B"/>
    <w:rsid w:val="00625C0B"/>
    <w:rsid w:val="00626331"/>
    <w:rsid w:val="0063618D"/>
    <w:rsid w:val="00646F6D"/>
    <w:rsid w:val="006472D1"/>
    <w:rsid w:val="00661078"/>
    <w:rsid w:val="006649CA"/>
    <w:rsid w:val="00665A1F"/>
    <w:rsid w:val="00674E80"/>
    <w:rsid w:val="0068081E"/>
    <w:rsid w:val="00681C43"/>
    <w:rsid w:val="00683C26"/>
    <w:rsid w:val="00686090"/>
    <w:rsid w:val="00692613"/>
    <w:rsid w:val="006A2A53"/>
    <w:rsid w:val="006A5563"/>
    <w:rsid w:val="006B0EBD"/>
    <w:rsid w:val="006B3D0A"/>
    <w:rsid w:val="006B6650"/>
    <w:rsid w:val="006B6DBF"/>
    <w:rsid w:val="006B7A1D"/>
    <w:rsid w:val="006C069A"/>
    <w:rsid w:val="006C1329"/>
    <w:rsid w:val="006C161D"/>
    <w:rsid w:val="006D1822"/>
    <w:rsid w:val="006D23A1"/>
    <w:rsid w:val="006E3AAA"/>
    <w:rsid w:val="006F2B6C"/>
    <w:rsid w:val="006F53FE"/>
    <w:rsid w:val="00700FE8"/>
    <w:rsid w:val="00707435"/>
    <w:rsid w:val="0070789E"/>
    <w:rsid w:val="007118CC"/>
    <w:rsid w:val="007239B7"/>
    <w:rsid w:val="0072793A"/>
    <w:rsid w:val="007306DF"/>
    <w:rsid w:val="007312C1"/>
    <w:rsid w:val="007423E9"/>
    <w:rsid w:val="007427AD"/>
    <w:rsid w:val="007471D7"/>
    <w:rsid w:val="00754327"/>
    <w:rsid w:val="0075520F"/>
    <w:rsid w:val="0075533D"/>
    <w:rsid w:val="00760605"/>
    <w:rsid w:val="0076239E"/>
    <w:rsid w:val="00762486"/>
    <w:rsid w:val="00763495"/>
    <w:rsid w:val="007711AB"/>
    <w:rsid w:val="00773B0D"/>
    <w:rsid w:val="0078194F"/>
    <w:rsid w:val="00782C6C"/>
    <w:rsid w:val="00782DAB"/>
    <w:rsid w:val="007879DF"/>
    <w:rsid w:val="0079102B"/>
    <w:rsid w:val="007A6450"/>
    <w:rsid w:val="007A7B1A"/>
    <w:rsid w:val="007B1459"/>
    <w:rsid w:val="007B331F"/>
    <w:rsid w:val="007B7D47"/>
    <w:rsid w:val="007C5DCB"/>
    <w:rsid w:val="007D23FD"/>
    <w:rsid w:val="007D6FF4"/>
    <w:rsid w:val="007E0ABA"/>
    <w:rsid w:val="007E2741"/>
    <w:rsid w:val="007E5975"/>
    <w:rsid w:val="007E614D"/>
    <w:rsid w:val="007F3293"/>
    <w:rsid w:val="007F4169"/>
    <w:rsid w:val="007F7BF2"/>
    <w:rsid w:val="0080273E"/>
    <w:rsid w:val="008039DD"/>
    <w:rsid w:val="00805807"/>
    <w:rsid w:val="008070E1"/>
    <w:rsid w:val="00811203"/>
    <w:rsid w:val="00811268"/>
    <w:rsid w:val="00811B8A"/>
    <w:rsid w:val="00820977"/>
    <w:rsid w:val="00821B2C"/>
    <w:rsid w:val="00821D2F"/>
    <w:rsid w:val="00821FBC"/>
    <w:rsid w:val="00822360"/>
    <w:rsid w:val="00824D9E"/>
    <w:rsid w:val="008337C2"/>
    <w:rsid w:val="008419C8"/>
    <w:rsid w:val="00842F02"/>
    <w:rsid w:val="00843673"/>
    <w:rsid w:val="00843918"/>
    <w:rsid w:val="00844E7C"/>
    <w:rsid w:val="00845595"/>
    <w:rsid w:val="0084700D"/>
    <w:rsid w:val="008501FB"/>
    <w:rsid w:val="008657E6"/>
    <w:rsid w:val="00867608"/>
    <w:rsid w:val="0086760E"/>
    <w:rsid w:val="00875775"/>
    <w:rsid w:val="00880E2A"/>
    <w:rsid w:val="00881454"/>
    <w:rsid w:val="00881EEF"/>
    <w:rsid w:val="00883C04"/>
    <w:rsid w:val="00885356"/>
    <w:rsid w:val="008855CC"/>
    <w:rsid w:val="00891DF9"/>
    <w:rsid w:val="0089492E"/>
    <w:rsid w:val="008A265F"/>
    <w:rsid w:val="008A4AE1"/>
    <w:rsid w:val="008B0767"/>
    <w:rsid w:val="008B1541"/>
    <w:rsid w:val="008B4D98"/>
    <w:rsid w:val="008B53ED"/>
    <w:rsid w:val="008C5532"/>
    <w:rsid w:val="008C6897"/>
    <w:rsid w:val="008C7938"/>
    <w:rsid w:val="008D1B74"/>
    <w:rsid w:val="008D3948"/>
    <w:rsid w:val="008D3D89"/>
    <w:rsid w:val="008D579F"/>
    <w:rsid w:val="008D6EB0"/>
    <w:rsid w:val="008D7B22"/>
    <w:rsid w:val="008E19C6"/>
    <w:rsid w:val="008E2FC2"/>
    <w:rsid w:val="008E560C"/>
    <w:rsid w:val="008E7A15"/>
    <w:rsid w:val="008F50C4"/>
    <w:rsid w:val="008F6094"/>
    <w:rsid w:val="008F68E7"/>
    <w:rsid w:val="00905078"/>
    <w:rsid w:val="009063CA"/>
    <w:rsid w:val="00912E13"/>
    <w:rsid w:val="00920C02"/>
    <w:rsid w:val="0092228E"/>
    <w:rsid w:val="00924F70"/>
    <w:rsid w:val="00925FAE"/>
    <w:rsid w:val="00926AB9"/>
    <w:rsid w:val="00927C04"/>
    <w:rsid w:val="00931C30"/>
    <w:rsid w:val="009412A7"/>
    <w:rsid w:val="00941BF4"/>
    <w:rsid w:val="00946FDB"/>
    <w:rsid w:val="00951E0D"/>
    <w:rsid w:val="00954252"/>
    <w:rsid w:val="00960DEB"/>
    <w:rsid w:val="00961D55"/>
    <w:rsid w:val="00967604"/>
    <w:rsid w:val="00972293"/>
    <w:rsid w:val="0097231D"/>
    <w:rsid w:val="009724A9"/>
    <w:rsid w:val="00974497"/>
    <w:rsid w:val="00975682"/>
    <w:rsid w:val="00982064"/>
    <w:rsid w:val="00992FE9"/>
    <w:rsid w:val="009979FC"/>
    <w:rsid w:val="009A11E0"/>
    <w:rsid w:val="009A18D4"/>
    <w:rsid w:val="009A31EF"/>
    <w:rsid w:val="009B248E"/>
    <w:rsid w:val="009B3975"/>
    <w:rsid w:val="009B6DC7"/>
    <w:rsid w:val="009D2D46"/>
    <w:rsid w:val="009D4629"/>
    <w:rsid w:val="009D5AA9"/>
    <w:rsid w:val="009E0166"/>
    <w:rsid w:val="009E49A9"/>
    <w:rsid w:val="009F2DE3"/>
    <w:rsid w:val="009F4686"/>
    <w:rsid w:val="00A03EE1"/>
    <w:rsid w:val="00A0695E"/>
    <w:rsid w:val="00A07C9D"/>
    <w:rsid w:val="00A10861"/>
    <w:rsid w:val="00A10B3A"/>
    <w:rsid w:val="00A13BF0"/>
    <w:rsid w:val="00A15BD7"/>
    <w:rsid w:val="00A1735A"/>
    <w:rsid w:val="00A2030D"/>
    <w:rsid w:val="00A234A7"/>
    <w:rsid w:val="00A23C66"/>
    <w:rsid w:val="00A248D5"/>
    <w:rsid w:val="00A3164D"/>
    <w:rsid w:val="00A31EF8"/>
    <w:rsid w:val="00A340E0"/>
    <w:rsid w:val="00A34ED4"/>
    <w:rsid w:val="00A50AEA"/>
    <w:rsid w:val="00A51A9F"/>
    <w:rsid w:val="00A5226A"/>
    <w:rsid w:val="00A62C98"/>
    <w:rsid w:val="00A63CFF"/>
    <w:rsid w:val="00A64E3A"/>
    <w:rsid w:val="00A64F4B"/>
    <w:rsid w:val="00A670FC"/>
    <w:rsid w:val="00A71E2F"/>
    <w:rsid w:val="00A7359B"/>
    <w:rsid w:val="00A74E08"/>
    <w:rsid w:val="00A763E3"/>
    <w:rsid w:val="00A81581"/>
    <w:rsid w:val="00A82327"/>
    <w:rsid w:val="00A82D65"/>
    <w:rsid w:val="00A8522C"/>
    <w:rsid w:val="00A91357"/>
    <w:rsid w:val="00A913CC"/>
    <w:rsid w:val="00A9148C"/>
    <w:rsid w:val="00A94E4F"/>
    <w:rsid w:val="00A95625"/>
    <w:rsid w:val="00A97891"/>
    <w:rsid w:val="00AA1BB5"/>
    <w:rsid w:val="00AA5E7B"/>
    <w:rsid w:val="00AA6239"/>
    <w:rsid w:val="00AB290D"/>
    <w:rsid w:val="00AB566A"/>
    <w:rsid w:val="00AB5BCC"/>
    <w:rsid w:val="00AB7782"/>
    <w:rsid w:val="00AC0205"/>
    <w:rsid w:val="00AC12E2"/>
    <w:rsid w:val="00AC313B"/>
    <w:rsid w:val="00AC4848"/>
    <w:rsid w:val="00AD05BB"/>
    <w:rsid w:val="00AD1836"/>
    <w:rsid w:val="00AD1B2B"/>
    <w:rsid w:val="00AD2867"/>
    <w:rsid w:val="00AD5349"/>
    <w:rsid w:val="00AE2BCE"/>
    <w:rsid w:val="00AE4B47"/>
    <w:rsid w:val="00AE5BEB"/>
    <w:rsid w:val="00AE65D7"/>
    <w:rsid w:val="00AE6C47"/>
    <w:rsid w:val="00AE6FF1"/>
    <w:rsid w:val="00AF2DA6"/>
    <w:rsid w:val="00AF7BF7"/>
    <w:rsid w:val="00B00AA6"/>
    <w:rsid w:val="00B01F3B"/>
    <w:rsid w:val="00B02E76"/>
    <w:rsid w:val="00B15603"/>
    <w:rsid w:val="00B167A6"/>
    <w:rsid w:val="00B2126F"/>
    <w:rsid w:val="00B21C22"/>
    <w:rsid w:val="00B22E59"/>
    <w:rsid w:val="00B23A69"/>
    <w:rsid w:val="00B24DD0"/>
    <w:rsid w:val="00B2629E"/>
    <w:rsid w:val="00B34D35"/>
    <w:rsid w:val="00B34EC9"/>
    <w:rsid w:val="00B35AE7"/>
    <w:rsid w:val="00B36C9F"/>
    <w:rsid w:val="00B52116"/>
    <w:rsid w:val="00B529C6"/>
    <w:rsid w:val="00B57680"/>
    <w:rsid w:val="00B64A7B"/>
    <w:rsid w:val="00B64D70"/>
    <w:rsid w:val="00B655E4"/>
    <w:rsid w:val="00B65EF7"/>
    <w:rsid w:val="00B661E6"/>
    <w:rsid w:val="00B709D7"/>
    <w:rsid w:val="00B711D8"/>
    <w:rsid w:val="00B71408"/>
    <w:rsid w:val="00B753B4"/>
    <w:rsid w:val="00B7730C"/>
    <w:rsid w:val="00B81B2A"/>
    <w:rsid w:val="00B83EF9"/>
    <w:rsid w:val="00B86299"/>
    <w:rsid w:val="00B91ED6"/>
    <w:rsid w:val="00B92820"/>
    <w:rsid w:val="00B96172"/>
    <w:rsid w:val="00B97A8D"/>
    <w:rsid w:val="00BA05E3"/>
    <w:rsid w:val="00BA6AFE"/>
    <w:rsid w:val="00BA79AD"/>
    <w:rsid w:val="00BB100C"/>
    <w:rsid w:val="00BB207A"/>
    <w:rsid w:val="00BB37B6"/>
    <w:rsid w:val="00BC0B30"/>
    <w:rsid w:val="00BC1E78"/>
    <w:rsid w:val="00BC394B"/>
    <w:rsid w:val="00BC6CE7"/>
    <w:rsid w:val="00BC6E82"/>
    <w:rsid w:val="00BC7139"/>
    <w:rsid w:val="00BC7D49"/>
    <w:rsid w:val="00BD3686"/>
    <w:rsid w:val="00BD48CB"/>
    <w:rsid w:val="00BD4E6A"/>
    <w:rsid w:val="00BD7283"/>
    <w:rsid w:val="00BD732F"/>
    <w:rsid w:val="00BE2EC3"/>
    <w:rsid w:val="00BE54B0"/>
    <w:rsid w:val="00BF5320"/>
    <w:rsid w:val="00C0615B"/>
    <w:rsid w:val="00C06F3E"/>
    <w:rsid w:val="00C105A7"/>
    <w:rsid w:val="00C114C5"/>
    <w:rsid w:val="00C11E4A"/>
    <w:rsid w:val="00C12EDA"/>
    <w:rsid w:val="00C16694"/>
    <w:rsid w:val="00C20718"/>
    <w:rsid w:val="00C22EEE"/>
    <w:rsid w:val="00C249A2"/>
    <w:rsid w:val="00C2591F"/>
    <w:rsid w:val="00C30C71"/>
    <w:rsid w:val="00C30E1C"/>
    <w:rsid w:val="00C32CC0"/>
    <w:rsid w:val="00C400EF"/>
    <w:rsid w:val="00C41FF0"/>
    <w:rsid w:val="00C42D02"/>
    <w:rsid w:val="00C45CF8"/>
    <w:rsid w:val="00C4636D"/>
    <w:rsid w:val="00C54966"/>
    <w:rsid w:val="00C54C65"/>
    <w:rsid w:val="00C55357"/>
    <w:rsid w:val="00C62C53"/>
    <w:rsid w:val="00C63C17"/>
    <w:rsid w:val="00C671A5"/>
    <w:rsid w:val="00C703CE"/>
    <w:rsid w:val="00C71E07"/>
    <w:rsid w:val="00C7696D"/>
    <w:rsid w:val="00C8601D"/>
    <w:rsid w:val="00C87444"/>
    <w:rsid w:val="00C9181A"/>
    <w:rsid w:val="00CA2B50"/>
    <w:rsid w:val="00CA2F1E"/>
    <w:rsid w:val="00CA45BC"/>
    <w:rsid w:val="00CA45E1"/>
    <w:rsid w:val="00CA6271"/>
    <w:rsid w:val="00CA789D"/>
    <w:rsid w:val="00CA7973"/>
    <w:rsid w:val="00CB03E0"/>
    <w:rsid w:val="00CB1424"/>
    <w:rsid w:val="00CB1A48"/>
    <w:rsid w:val="00CB6E4F"/>
    <w:rsid w:val="00CC2119"/>
    <w:rsid w:val="00CC7CAF"/>
    <w:rsid w:val="00CD12E0"/>
    <w:rsid w:val="00CD696A"/>
    <w:rsid w:val="00CD6B17"/>
    <w:rsid w:val="00CD7EFD"/>
    <w:rsid w:val="00CD7F81"/>
    <w:rsid w:val="00CE5CAB"/>
    <w:rsid w:val="00CE75F2"/>
    <w:rsid w:val="00CF0320"/>
    <w:rsid w:val="00D0057A"/>
    <w:rsid w:val="00D00B71"/>
    <w:rsid w:val="00D04A51"/>
    <w:rsid w:val="00D05ADD"/>
    <w:rsid w:val="00D0614C"/>
    <w:rsid w:val="00D06BDA"/>
    <w:rsid w:val="00D07627"/>
    <w:rsid w:val="00D104CB"/>
    <w:rsid w:val="00D12800"/>
    <w:rsid w:val="00D13864"/>
    <w:rsid w:val="00D157FA"/>
    <w:rsid w:val="00D160B3"/>
    <w:rsid w:val="00D24D7E"/>
    <w:rsid w:val="00D24FD1"/>
    <w:rsid w:val="00D309F8"/>
    <w:rsid w:val="00D30B5D"/>
    <w:rsid w:val="00D3388B"/>
    <w:rsid w:val="00D358BF"/>
    <w:rsid w:val="00D44DE3"/>
    <w:rsid w:val="00D45FA5"/>
    <w:rsid w:val="00D53C61"/>
    <w:rsid w:val="00D54344"/>
    <w:rsid w:val="00D5477C"/>
    <w:rsid w:val="00D639F8"/>
    <w:rsid w:val="00D65B7F"/>
    <w:rsid w:val="00D70966"/>
    <w:rsid w:val="00D74D99"/>
    <w:rsid w:val="00D75F76"/>
    <w:rsid w:val="00D82F3D"/>
    <w:rsid w:val="00D86961"/>
    <w:rsid w:val="00D90873"/>
    <w:rsid w:val="00D90A78"/>
    <w:rsid w:val="00DA1D8D"/>
    <w:rsid w:val="00DA206A"/>
    <w:rsid w:val="00DA3F54"/>
    <w:rsid w:val="00DA49EA"/>
    <w:rsid w:val="00DA7225"/>
    <w:rsid w:val="00DA798D"/>
    <w:rsid w:val="00DA7F60"/>
    <w:rsid w:val="00DB24B4"/>
    <w:rsid w:val="00DB69CF"/>
    <w:rsid w:val="00DB7F63"/>
    <w:rsid w:val="00DC24B9"/>
    <w:rsid w:val="00DD047A"/>
    <w:rsid w:val="00DD5172"/>
    <w:rsid w:val="00DD79A6"/>
    <w:rsid w:val="00DE785B"/>
    <w:rsid w:val="00DF37B3"/>
    <w:rsid w:val="00DF5E2C"/>
    <w:rsid w:val="00DF77D4"/>
    <w:rsid w:val="00E006CA"/>
    <w:rsid w:val="00E00D36"/>
    <w:rsid w:val="00E01D63"/>
    <w:rsid w:val="00E13E3D"/>
    <w:rsid w:val="00E26D8F"/>
    <w:rsid w:val="00E31EE2"/>
    <w:rsid w:val="00E37024"/>
    <w:rsid w:val="00E41321"/>
    <w:rsid w:val="00E46984"/>
    <w:rsid w:val="00E474EF"/>
    <w:rsid w:val="00E50B44"/>
    <w:rsid w:val="00E51A65"/>
    <w:rsid w:val="00E53429"/>
    <w:rsid w:val="00E542BE"/>
    <w:rsid w:val="00E5456F"/>
    <w:rsid w:val="00E5475D"/>
    <w:rsid w:val="00E5541A"/>
    <w:rsid w:val="00E6100B"/>
    <w:rsid w:val="00E61659"/>
    <w:rsid w:val="00E62959"/>
    <w:rsid w:val="00E6450D"/>
    <w:rsid w:val="00E66AE0"/>
    <w:rsid w:val="00E67F88"/>
    <w:rsid w:val="00E745D5"/>
    <w:rsid w:val="00E8070A"/>
    <w:rsid w:val="00E816D6"/>
    <w:rsid w:val="00E82EFC"/>
    <w:rsid w:val="00E916EC"/>
    <w:rsid w:val="00E94D48"/>
    <w:rsid w:val="00E976CB"/>
    <w:rsid w:val="00EA1557"/>
    <w:rsid w:val="00EA553E"/>
    <w:rsid w:val="00EB4150"/>
    <w:rsid w:val="00EB4FD5"/>
    <w:rsid w:val="00EC0CF7"/>
    <w:rsid w:val="00ED43CC"/>
    <w:rsid w:val="00EE28E8"/>
    <w:rsid w:val="00EE4883"/>
    <w:rsid w:val="00EE52E2"/>
    <w:rsid w:val="00EF1121"/>
    <w:rsid w:val="00EF787D"/>
    <w:rsid w:val="00F0594F"/>
    <w:rsid w:val="00F05D7A"/>
    <w:rsid w:val="00F07057"/>
    <w:rsid w:val="00F12C5F"/>
    <w:rsid w:val="00F1753B"/>
    <w:rsid w:val="00F21B39"/>
    <w:rsid w:val="00F21D4C"/>
    <w:rsid w:val="00F2424A"/>
    <w:rsid w:val="00F255BF"/>
    <w:rsid w:val="00F31F8D"/>
    <w:rsid w:val="00F32A81"/>
    <w:rsid w:val="00F33819"/>
    <w:rsid w:val="00F342E3"/>
    <w:rsid w:val="00F3497B"/>
    <w:rsid w:val="00F41388"/>
    <w:rsid w:val="00F47E56"/>
    <w:rsid w:val="00F52007"/>
    <w:rsid w:val="00F52E33"/>
    <w:rsid w:val="00F53DF5"/>
    <w:rsid w:val="00F55ED0"/>
    <w:rsid w:val="00F60233"/>
    <w:rsid w:val="00F64488"/>
    <w:rsid w:val="00F6481A"/>
    <w:rsid w:val="00F6483B"/>
    <w:rsid w:val="00F72EBD"/>
    <w:rsid w:val="00F750A3"/>
    <w:rsid w:val="00F81979"/>
    <w:rsid w:val="00F819CA"/>
    <w:rsid w:val="00F820D6"/>
    <w:rsid w:val="00F8680B"/>
    <w:rsid w:val="00F878CD"/>
    <w:rsid w:val="00F93424"/>
    <w:rsid w:val="00F93FF1"/>
    <w:rsid w:val="00F944CB"/>
    <w:rsid w:val="00FA0C76"/>
    <w:rsid w:val="00FA2AD3"/>
    <w:rsid w:val="00FA325F"/>
    <w:rsid w:val="00FB2755"/>
    <w:rsid w:val="00FB2890"/>
    <w:rsid w:val="00FB4879"/>
    <w:rsid w:val="00FB575E"/>
    <w:rsid w:val="00FC1FCD"/>
    <w:rsid w:val="00FC52F1"/>
    <w:rsid w:val="00FC587C"/>
    <w:rsid w:val="00FC6C26"/>
    <w:rsid w:val="00FD0580"/>
    <w:rsid w:val="00FD4458"/>
    <w:rsid w:val="00FD503F"/>
    <w:rsid w:val="00FE00B9"/>
    <w:rsid w:val="00FE02C3"/>
    <w:rsid w:val="00FF6A29"/>
    <w:rsid w:val="00FF79BD"/>
    <w:rsid w:val="01386186"/>
    <w:rsid w:val="019D0D21"/>
    <w:rsid w:val="03582757"/>
    <w:rsid w:val="05083A28"/>
    <w:rsid w:val="05947A23"/>
    <w:rsid w:val="06181662"/>
    <w:rsid w:val="065710F9"/>
    <w:rsid w:val="081A4B2B"/>
    <w:rsid w:val="08927B05"/>
    <w:rsid w:val="098F0CA1"/>
    <w:rsid w:val="09906FBF"/>
    <w:rsid w:val="09C718E9"/>
    <w:rsid w:val="0A031126"/>
    <w:rsid w:val="0B1103B5"/>
    <w:rsid w:val="0C0C1CAC"/>
    <w:rsid w:val="0C2544B3"/>
    <w:rsid w:val="0C600E39"/>
    <w:rsid w:val="0D912CEB"/>
    <w:rsid w:val="0E8A2184"/>
    <w:rsid w:val="102A42C1"/>
    <w:rsid w:val="1195086C"/>
    <w:rsid w:val="11EA7FFF"/>
    <w:rsid w:val="12061CCA"/>
    <w:rsid w:val="12A84C29"/>
    <w:rsid w:val="13B60C51"/>
    <w:rsid w:val="14221A39"/>
    <w:rsid w:val="1696650A"/>
    <w:rsid w:val="16E3129A"/>
    <w:rsid w:val="1940337D"/>
    <w:rsid w:val="19F27DA3"/>
    <w:rsid w:val="1A1506B7"/>
    <w:rsid w:val="1A3C6024"/>
    <w:rsid w:val="1AA30AC4"/>
    <w:rsid w:val="1ACD3147"/>
    <w:rsid w:val="1B563139"/>
    <w:rsid w:val="1C2A75AB"/>
    <w:rsid w:val="1DF0311F"/>
    <w:rsid w:val="1E2D7860"/>
    <w:rsid w:val="1E647A2F"/>
    <w:rsid w:val="1F275244"/>
    <w:rsid w:val="1FEE068B"/>
    <w:rsid w:val="20662B81"/>
    <w:rsid w:val="20FC169A"/>
    <w:rsid w:val="217C217E"/>
    <w:rsid w:val="220854FA"/>
    <w:rsid w:val="22206464"/>
    <w:rsid w:val="22B911B7"/>
    <w:rsid w:val="22CD500C"/>
    <w:rsid w:val="22E75B24"/>
    <w:rsid w:val="23256959"/>
    <w:rsid w:val="254611BB"/>
    <w:rsid w:val="256E4C6B"/>
    <w:rsid w:val="25E03024"/>
    <w:rsid w:val="26F74D62"/>
    <w:rsid w:val="27085026"/>
    <w:rsid w:val="27C13DCB"/>
    <w:rsid w:val="280C1780"/>
    <w:rsid w:val="283B715C"/>
    <w:rsid w:val="287A5B2D"/>
    <w:rsid w:val="29242EA8"/>
    <w:rsid w:val="299529EE"/>
    <w:rsid w:val="29EA31D2"/>
    <w:rsid w:val="2ADC1861"/>
    <w:rsid w:val="2B3355C0"/>
    <w:rsid w:val="2B535BB5"/>
    <w:rsid w:val="2BC022A5"/>
    <w:rsid w:val="2BE95A92"/>
    <w:rsid w:val="2BED2276"/>
    <w:rsid w:val="2D3A3DAC"/>
    <w:rsid w:val="2FAB0C73"/>
    <w:rsid w:val="3063475C"/>
    <w:rsid w:val="317344C1"/>
    <w:rsid w:val="318C6DD8"/>
    <w:rsid w:val="3236106F"/>
    <w:rsid w:val="32382FA7"/>
    <w:rsid w:val="325743DF"/>
    <w:rsid w:val="32791949"/>
    <w:rsid w:val="338326B0"/>
    <w:rsid w:val="343B0BB2"/>
    <w:rsid w:val="36071E16"/>
    <w:rsid w:val="38046BB0"/>
    <w:rsid w:val="392E64A4"/>
    <w:rsid w:val="399E6421"/>
    <w:rsid w:val="3A0E6DBD"/>
    <w:rsid w:val="3A260CF9"/>
    <w:rsid w:val="3C0E6655"/>
    <w:rsid w:val="3CA440DA"/>
    <w:rsid w:val="3D1B5FFB"/>
    <w:rsid w:val="3D436C48"/>
    <w:rsid w:val="3E3540E9"/>
    <w:rsid w:val="3E6C4F1B"/>
    <w:rsid w:val="3E772188"/>
    <w:rsid w:val="3F18761E"/>
    <w:rsid w:val="3FFA5D28"/>
    <w:rsid w:val="40D86BD2"/>
    <w:rsid w:val="410C0D0E"/>
    <w:rsid w:val="415C7693"/>
    <w:rsid w:val="41E738AA"/>
    <w:rsid w:val="44132E27"/>
    <w:rsid w:val="450076D0"/>
    <w:rsid w:val="4657458A"/>
    <w:rsid w:val="46CC56D0"/>
    <w:rsid w:val="47C94325"/>
    <w:rsid w:val="47DC7E72"/>
    <w:rsid w:val="48C534B1"/>
    <w:rsid w:val="49AD15F5"/>
    <w:rsid w:val="4A1A3CF1"/>
    <w:rsid w:val="4B1D294C"/>
    <w:rsid w:val="4B255B23"/>
    <w:rsid w:val="4B866976"/>
    <w:rsid w:val="4BB53DC4"/>
    <w:rsid w:val="4C3F0A0E"/>
    <w:rsid w:val="4C6F6D69"/>
    <w:rsid w:val="4D6E227B"/>
    <w:rsid w:val="4D8313A3"/>
    <w:rsid w:val="4DD45315"/>
    <w:rsid w:val="50084E81"/>
    <w:rsid w:val="501D59D3"/>
    <w:rsid w:val="5129519A"/>
    <w:rsid w:val="51A87E2A"/>
    <w:rsid w:val="521D6A70"/>
    <w:rsid w:val="527704B1"/>
    <w:rsid w:val="530C1B2C"/>
    <w:rsid w:val="531570D9"/>
    <w:rsid w:val="54B96D38"/>
    <w:rsid w:val="56CE3548"/>
    <w:rsid w:val="583C3A82"/>
    <w:rsid w:val="5AC95F39"/>
    <w:rsid w:val="5B021273"/>
    <w:rsid w:val="5B051AA4"/>
    <w:rsid w:val="5B363017"/>
    <w:rsid w:val="5B690C85"/>
    <w:rsid w:val="5C3A6DDC"/>
    <w:rsid w:val="5C705642"/>
    <w:rsid w:val="5CB477DE"/>
    <w:rsid w:val="5D924110"/>
    <w:rsid w:val="5DD83C04"/>
    <w:rsid w:val="5DE96705"/>
    <w:rsid w:val="5E540589"/>
    <w:rsid w:val="5EBE4C1F"/>
    <w:rsid w:val="603D43D1"/>
    <w:rsid w:val="60AF26BF"/>
    <w:rsid w:val="61900331"/>
    <w:rsid w:val="61A83624"/>
    <w:rsid w:val="61B30469"/>
    <w:rsid w:val="61CE1A7D"/>
    <w:rsid w:val="62892A28"/>
    <w:rsid w:val="63934603"/>
    <w:rsid w:val="64A97042"/>
    <w:rsid w:val="64AB7435"/>
    <w:rsid w:val="64AC073A"/>
    <w:rsid w:val="658C1EAE"/>
    <w:rsid w:val="661106FE"/>
    <w:rsid w:val="66824748"/>
    <w:rsid w:val="66A845D0"/>
    <w:rsid w:val="66BE668B"/>
    <w:rsid w:val="66BF4555"/>
    <w:rsid w:val="69ED7C14"/>
    <w:rsid w:val="6A185D89"/>
    <w:rsid w:val="6A246185"/>
    <w:rsid w:val="6A6D43CA"/>
    <w:rsid w:val="6B5D6F08"/>
    <w:rsid w:val="6B6039BD"/>
    <w:rsid w:val="6B8146D6"/>
    <w:rsid w:val="6C2267AB"/>
    <w:rsid w:val="6C6D1BAB"/>
    <w:rsid w:val="6DCF4734"/>
    <w:rsid w:val="6DDB0802"/>
    <w:rsid w:val="6EC14FC1"/>
    <w:rsid w:val="6F622885"/>
    <w:rsid w:val="6FDF3939"/>
    <w:rsid w:val="6FDF4BF9"/>
    <w:rsid w:val="70320346"/>
    <w:rsid w:val="709058A9"/>
    <w:rsid w:val="70AE4B6D"/>
    <w:rsid w:val="7118679B"/>
    <w:rsid w:val="72A65757"/>
    <w:rsid w:val="72A91DD7"/>
    <w:rsid w:val="739A2B17"/>
    <w:rsid w:val="741E776B"/>
    <w:rsid w:val="742D26E8"/>
    <w:rsid w:val="75076D5C"/>
    <w:rsid w:val="7733585A"/>
    <w:rsid w:val="7747397F"/>
    <w:rsid w:val="783E6232"/>
    <w:rsid w:val="7920419B"/>
    <w:rsid w:val="7CA02930"/>
    <w:rsid w:val="7DCE3CC0"/>
    <w:rsid w:val="7EA03F2B"/>
    <w:rsid w:val="7EA96DAB"/>
    <w:rsid w:val="7EE11D20"/>
    <w:rsid w:val="7F7E7F97"/>
    <w:rsid w:val="FF3F9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30"/>
    <w:qFormat/>
    <w:uiPriority w:val="0"/>
    <w:pPr>
      <w:keepNext/>
      <w:keepLines/>
      <w:widowControl/>
      <w:autoSpaceDE/>
      <w:autoSpaceDN/>
      <w:spacing w:line="360" w:lineRule="auto"/>
      <w:jc w:val="center"/>
      <w:outlineLvl w:val="0"/>
    </w:pPr>
    <w:rPr>
      <w:rFonts w:ascii="Times New Roman"/>
      <w:b/>
      <w:bCs/>
      <w:kern w:val="44"/>
      <w:sz w:val="36"/>
      <w:szCs w:val="32"/>
      <w:lang w:val="zh-CN"/>
    </w:rPr>
  </w:style>
  <w:style w:type="paragraph" w:styleId="3">
    <w:name w:val="heading 2"/>
    <w:basedOn w:val="1"/>
    <w:next w:val="1"/>
    <w:link w:val="33"/>
    <w:qFormat/>
    <w:uiPriority w:val="0"/>
    <w:pPr>
      <w:keepNext/>
      <w:keepLines/>
      <w:widowControl/>
      <w:autoSpaceDE/>
      <w:autoSpaceDN/>
      <w:spacing w:line="360" w:lineRule="auto"/>
      <w:outlineLvl w:val="1"/>
    </w:pPr>
    <w:rPr>
      <w:rFonts w:ascii="Times New Roman"/>
      <w:b/>
    </w:rPr>
  </w:style>
  <w:style w:type="paragraph" w:styleId="4">
    <w:name w:val="heading 3"/>
    <w:basedOn w:val="1"/>
    <w:next w:val="1"/>
    <w:link w:val="29"/>
    <w:qFormat/>
    <w:uiPriority w:val="0"/>
    <w:pPr>
      <w:keepNext/>
      <w:keepLines/>
      <w:widowControl/>
      <w:autoSpaceDE/>
      <w:autoSpaceDN/>
      <w:spacing w:line="360" w:lineRule="auto"/>
      <w:outlineLvl w:val="2"/>
    </w:pPr>
    <w:rPr>
      <w:rFonts w:ascii="Times New Roman"/>
      <w:b/>
    </w:rPr>
  </w:style>
  <w:style w:type="paragraph" w:styleId="5">
    <w:name w:val="heading 4"/>
    <w:basedOn w:val="1"/>
    <w:next w:val="1"/>
    <w:link w:val="26"/>
    <w:qFormat/>
    <w:uiPriority w:val="0"/>
    <w:pPr>
      <w:keepNext/>
      <w:keepLines/>
      <w:spacing w:line="360" w:lineRule="auto"/>
      <w:outlineLvl w:val="3"/>
    </w:pPr>
    <w:rPr>
      <w:rFonts w:ascii="Arial" w:hAnsi="Arial"/>
      <w:bCs/>
      <w:szCs w:val="28"/>
    </w:rPr>
  </w:style>
  <w:style w:type="paragraph" w:styleId="6">
    <w:name w:val="heading 5"/>
    <w:basedOn w:val="1"/>
    <w:next w:val="1"/>
    <w:link w:val="34"/>
    <w:qFormat/>
    <w:uiPriority w:val="0"/>
    <w:pPr>
      <w:keepNext/>
      <w:keepLines/>
      <w:widowControl/>
      <w:tabs>
        <w:tab w:val="left" w:pos="1008"/>
      </w:tabs>
      <w:autoSpaceDE/>
      <w:autoSpaceDN/>
      <w:adjustRightInd/>
      <w:spacing w:before="280" w:after="290" w:line="376" w:lineRule="auto"/>
      <w:ind w:left="1008" w:hanging="1008"/>
      <w:outlineLvl w:val="4"/>
    </w:pPr>
    <w:rPr>
      <w:rFonts w:ascii="Calibri" w:hAnsi="Calibri"/>
      <w:b/>
      <w:bCs/>
      <w:sz w:val="28"/>
      <w:szCs w:val="28"/>
    </w:rPr>
  </w:style>
  <w:style w:type="paragraph" w:styleId="7">
    <w:name w:val="heading 6"/>
    <w:basedOn w:val="1"/>
    <w:next w:val="1"/>
    <w:link w:val="3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8">
    <w:name w:val="heading 7"/>
    <w:basedOn w:val="1"/>
    <w:next w:val="1"/>
    <w:link w:val="27"/>
    <w:qFormat/>
    <w:uiPriority w:val="0"/>
    <w:pPr>
      <w:keepNext/>
      <w:keepLines/>
      <w:widowControl/>
      <w:tabs>
        <w:tab w:val="left" w:pos="1296"/>
      </w:tabs>
      <w:autoSpaceDE/>
      <w:autoSpaceDN/>
      <w:adjustRightInd/>
      <w:spacing w:before="240" w:after="64" w:line="320" w:lineRule="auto"/>
      <w:ind w:left="1296" w:hanging="1296"/>
      <w:outlineLvl w:val="6"/>
    </w:pPr>
    <w:rPr>
      <w:rFonts w:ascii="Calibri" w:hAnsi="Calibri"/>
      <w:b/>
      <w:bCs/>
    </w:rPr>
  </w:style>
  <w:style w:type="paragraph" w:styleId="9">
    <w:name w:val="heading 8"/>
    <w:basedOn w:val="1"/>
    <w:next w:val="1"/>
    <w:link w:val="32"/>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0">
    <w:name w:val="heading 9"/>
    <w:basedOn w:val="1"/>
    <w:next w:val="1"/>
    <w:link w:val="28"/>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1"/>
    <w:qFormat/>
    <w:uiPriority w:val="0"/>
  </w:style>
  <w:style w:type="paragraph" w:styleId="12">
    <w:name w:val="Balloon Text"/>
    <w:basedOn w:val="1"/>
    <w:link w:val="35"/>
    <w:qFormat/>
    <w:uiPriority w:val="0"/>
    <w:rPr>
      <w:sz w:val="18"/>
      <w:szCs w:val="18"/>
    </w:rPr>
  </w:style>
  <w:style w:type="paragraph" w:styleId="13">
    <w:name w:val="footer"/>
    <w:basedOn w:val="1"/>
    <w:link w:val="25"/>
    <w:qFormat/>
    <w:uiPriority w:val="0"/>
    <w:pPr>
      <w:tabs>
        <w:tab w:val="center" w:pos="4153"/>
        <w:tab w:val="right" w:pos="8306"/>
      </w:tabs>
      <w:snapToGrid w:val="0"/>
    </w:pPr>
    <w:rPr>
      <w:sz w:val="18"/>
      <w:szCs w:val="18"/>
    </w:rPr>
  </w:style>
  <w:style w:type="paragraph" w:styleId="14">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semiHidden/>
    <w:unhideWhenUsed/>
    <w:qFormat/>
    <w:uiPriority w:val="99"/>
    <w:pPr>
      <w:widowControl/>
      <w:autoSpaceDE/>
      <w:autoSpaceDN/>
      <w:adjustRightInd/>
      <w:spacing w:before="100" w:beforeAutospacing="1" w:after="100" w:afterAutospacing="1"/>
    </w:pPr>
    <w:rPr>
      <w:rFonts w:hAnsi="宋体" w:cs="宋体"/>
    </w:rPr>
  </w:style>
  <w:style w:type="paragraph" w:styleId="16">
    <w:name w:val="annotation subject"/>
    <w:basedOn w:val="11"/>
    <w:next w:val="11"/>
    <w:link w:val="22"/>
    <w:qFormat/>
    <w:uiPriority w:val="0"/>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qFormat/>
    <w:uiPriority w:val="0"/>
    <w:rPr>
      <w:sz w:val="21"/>
      <w:szCs w:val="21"/>
    </w:rPr>
  </w:style>
  <w:style w:type="character" w:customStyle="1" w:styleId="21">
    <w:name w:val="批注文字 字符"/>
    <w:link w:val="11"/>
    <w:qFormat/>
    <w:uiPriority w:val="0"/>
    <w:rPr>
      <w:rFonts w:ascii="宋体" w:hAnsi="Times New Roman"/>
      <w:sz w:val="24"/>
      <w:szCs w:val="24"/>
    </w:rPr>
  </w:style>
  <w:style w:type="character" w:customStyle="1" w:styleId="22">
    <w:name w:val="批注主题 字符"/>
    <w:link w:val="16"/>
    <w:qFormat/>
    <w:uiPriority w:val="0"/>
    <w:rPr>
      <w:rFonts w:ascii="宋体" w:hAnsi="Times New Roman"/>
      <w:b/>
      <w:bCs/>
      <w:sz w:val="24"/>
      <w:szCs w:val="24"/>
    </w:rPr>
  </w:style>
  <w:style w:type="paragraph" w:customStyle="1" w:styleId="23">
    <w:name w:val="列出段落2"/>
    <w:basedOn w:val="1"/>
    <w:qFormat/>
    <w:uiPriority w:val="34"/>
    <w:pPr>
      <w:autoSpaceDE/>
      <w:autoSpaceDN/>
      <w:adjustRightInd/>
      <w:ind w:firstLine="420" w:firstLineChars="200"/>
      <w:jc w:val="both"/>
    </w:pPr>
    <w:rPr>
      <w:rFonts w:ascii="Calibri" w:hAnsi="Calibri" w:eastAsia="方正仿宋_GBK"/>
      <w:kern w:val="2"/>
      <w:sz w:val="32"/>
      <w:szCs w:val="22"/>
    </w:rPr>
  </w:style>
  <w:style w:type="character" w:customStyle="1" w:styleId="24">
    <w:name w:val="页眉 字符"/>
    <w:link w:val="14"/>
    <w:qFormat/>
    <w:uiPriority w:val="0"/>
    <w:rPr>
      <w:rFonts w:ascii="宋体" w:hAnsi="Times New Roman"/>
      <w:sz w:val="18"/>
      <w:szCs w:val="18"/>
    </w:rPr>
  </w:style>
  <w:style w:type="character" w:customStyle="1" w:styleId="25">
    <w:name w:val="页脚 字符"/>
    <w:link w:val="13"/>
    <w:qFormat/>
    <w:uiPriority w:val="0"/>
    <w:rPr>
      <w:rFonts w:ascii="宋体" w:hAnsi="Times New Roman"/>
      <w:sz w:val="18"/>
      <w:szCs w:val="18"/>
    </w:rPr>
  </w:style>
  <w:style w:type="character" w:customStyle="1" w:styleId="26">
    <w:name w:val="标题 4 字符"/>
    <w:link w:val="5"/>
    <w:qFormat/>
    <w:uiPriority w:val="0"/>
    <w:rPr>
      <w:rFonts w:ascii="Arial" w:hAnsi="Arial"/>
      <w:bCs/>
      <w:sz w:val="24"/>
      <w:szCs w:val="28"/>
    </w:rPr>
  </w:style>
  <w:style w:type="character" w:customStyle="1" w:styleId="27">
    <w:name w:val="标题 7 字符"/>
    <w:link w:val="8"/>
    <w:qFormat/>
    <w:uiPriority w:val="0"/>
    <w:rPr>
      <w:b/>
      <w:bCs/>
      <w:sz w:val="24"/>
      <w:szCs w:val="24"/>
    </w:rPr>
  </w:style>
  <w:style w:type="character" w:customStyle="1" w:styleId="28">
    <w:name w:val="标题 9 字符"/>
    <w:link w:val="10"/>
    <w:qFormat/>
    <w:uiPriority w:val="0"/>
    <w:rPr>
      <w:rFonts w:ascii="Arial" w:hAnsi="Arial" w:eastAsia="黑体"/>
      <w:sz w:val="21"/>
      <w:szCs w:val="21"/>
    </w:rPr>
  </w:style>
  <w:style w:type="character" w:customStyle="1" w:styleId="29">
    <w:name w:val="标题 3 字符"/>
    <w:link w:val="4"/>
    <w:qFormat/>
    <w:uiPriority w:val="0"/>
    <w:rPr>
      <w:rFonts w:ascii="Times New Roman" w:hAnsi="Times New Roman"/>
      <w:b/>
      <w:sz w:val="24"/>
      <w:szCs w:val="24"/>
    </w:rPr>
  </w:style>
  <w:style w:type="character" w:customStyle="1" w:styleId="30">
    <w:name w:val="标题 1 字符"/>
    <w:link w:val="2"/>
    <w:qFormat/>
    <w:uiPriority w:val="0"/>
    <w:rPr>
      <w:rFonts w:ascii="Times New Roman" w:hAnsi="Times New Roman"/>
      <w:b/>
      <w:bCs/>
      <w:kern w:val="44"/>
      <w:sz w:val="36"/>
      <w:szCs w:val="32"/>
      <w:lang w:val="zh-CN"/>
    </w:rPr>
  </w:style>
  <w:style w:type="character" w:customStyle="1" w:styleId="31">
    <w:name w:val="标题 6 字符"/>
    <w:link w:val="7"/>
    <w:qFormat/>
    <w:uiPriority w:val="0"/>
    <w:rPr>
      <w:rFonts w:ascii="Arial" w:hAnsi="Arial" w:eastAsia="黑体"/>
      <w:b/>
      <w:bCs/>
      <w:sz w:val="24"/>
      <w:szCs w:val="24"/>
    </w:rPr>
  </w:style>
  <w:style w:type="character" w:customStyle="1" w:styleId="32">
    <w:name w:val="标题 8 字符"/>
    <w:link w:val="9"/>
    <w:qFormat/>
    <w:uiPriority w:val="0"/>
    <w:rPr>
      <w:rFonts w:ascii="Arial" w:hAnsi="Arial" w:eastAsia="黑体"/>
      <w:sz w:val="24"/>
      <w:szCs w:val="24"/>
    </w:rPr>
  </w:style>
  <w:style w:type="character" w:customStyle="1" w:styleId="33">
    <w:name w:val="标题 2 字符"/>
    <w:link w:val="3"/>
    <w:qFormat/>
    <w:uiPriority w:val="0"/>
    <w:rPr>
      <w:rFonts w:ascii="Times New Roman" w:hAnsi="Times New Roman"/>
      <w:b/>
      <w:sz w:val="24"/>
      <w:szCs w:val="24"/>
    </w:rPr>
  </w:style>
  <w:style w:type="character" w:customStyle="1" w:styleId="34">
    <w:name w:val="标题 5 字符"/>
    <w:link w:val="6"/>
    <w:qFormat/>
    <w:uiPriority w:val="0"/>
    <w:rPr>
      <w:b/>
      <w:bCs/>
      <w:sz w:val="28"/>
      <w:szCs w:val="28"/>
    </w:rPr>
  </w:style>
  <w:style w:type="character" w:customStyle="1" w:styleId="35">
    <w:name w:val="批注框文本 字符"/>
    <w:basedOn w:val="19"/>
    <w:link w:val="12"/>
    <w:qFormat/>
    <w:uiPriority w:val="0"/>
    <w:rPr>
      <w:rFonts w:ascii="宋体" w:hAnsi="Times New Roman"/>
      <w:sz w:val="18"/>
      <w:szCs w:val="18"/>
    </w:rPr>
  </w:style>
  <w:style w:type="paragraph" w:styleId="36">
    <w:name w:val="List Paragraph"/>
    <w:basedOn w:val="1"/>
    <w:qFormat/>
    <w:uiPriority w:val="1"/>
    <w:pPr>
      <w:ind w:firstLine="420" w:firstLineChars="200"/>
    </w:pPr>
  </w:style>
  <w:style w:type="paragraph" w:customStyle="1" w:styleId="37">
    <w:name w:val="标书正文"/>
    <w:qFormat/>
    <w:uiPriority w:val="0"/>
    <w:pPr>
      <w:spacing w:line="360" w:lineRule="auto"/>
      <w:ind w:firstLine="200" w:firstLineChars="200"/>
    </w:pPr>
    <w:rPr>
      <w:rFonts w:ascii="宋体" w:hAnsi="宋体" w:eastAsia="宋体" w:cstheme="minorBidi"/>
      <w:kern w:val="2"/>
      <w:sz w:val="24"/>
      <w:szCs w:val="21"/>
      <w:lang w:val="en-US" w:eastAsia="zh-CN" w:bidi="ar-SA"/>
    </w:rPr>
  </w:style>
  <w:style w:type="paragraph" w:customStyle="1" w:styleId="38">
    <w:name w:val="标书标题1级"/>
    <w:next w:val="37"/>
    <w:qFormat/>
    <w:uiPriority w:val="0"/>
    <w:pPr>
      <w:numPr>
        <w:ilvl w:val="0"/>
        <w:numId w:val="1"/>
      </w:numPr>
      <w:spacing w:before="240" w:line="360" w:lineRule="auto"/>
      <w:outlineLvl w:val="0"/>
    </w:pPr>
    <w:rPr>
      <w:rFonts w:ascii="宋体" w:hAnsi="宋体" w:eastAsia="宋体" w:cstheme="minorBidi"/>
      <w:b/>
      <w:kern w:val="2"/>
      <w:sz w:val="32"/>
      <w:szCs w:val="21"/>
      <w:lang w:val="en-US" w:eastAsia="zh-CN" w:bidi="ar-SA"/>
    </w:rPr>
  </w:style>
  <w:style w:type="paragraph" w:customStyle="1" w:styleId="39">
    <w:name w:val="标书标题2级"/>
    <w:next w:val="37"/>
    <w:qFormat/>
    <w:uiPriority w:val="0"/>
    <w:pPr>
      <w:numPr>
        <w:ilvl w:val="1"/>
        <w:numId w:val="1"/>
      </w:numPr>
      <w:spacing w:before="240" w:line="360" w:lineRule="auto"/>
      <w:outlineLvl w:val="1"/>
    </w:pPr>
    <w:rPr>
      <w:rFonts w:ascii="宋体" w:hAnsi="宋体" w:eastAsia="宋体" w:cstheme="minorBidi"/>
      <w:b/>
      <w:kern w:val="2"/>
      <w:sz w:val="30"/>
      <w:szCs w:val="21"/>
      <w:lang w:val="en-US" w:eastAsia="zh-CN" w:bidi="ar-SA"/>
    </w:rPr>
  </w:style>
  <w:style w:type="paragraph" w:customStyle="1" w:styleId="40">
    <w:name w:val="标书标题3级"/>
    <w:next w:val="37"/>
    <w:qFormat/>
    <w:uiPriority w:val="0"/>
    <w:pPr>
      <w:numPr>
        <w:ilvl w:val="2"/>
        <w:numId w:val="1"/>
      </w:numPr>
      <w:spacing w:line="360" w:lineRule="auto"/>
      <w:outlineLvl w:val="2"/>
    </w:pPr>
    <w:rPr>
      <w:rFonts w:ascii="宋体" w:hAnsi="宋体" w:eastAsia="宋体" w:cstheme="minorBidi"/>
      <w:b/>
      <w:kern w:val="2"/>
      <w:sz w:val="28"/>
      <w:szCs w:val="21"/>
      <w:lang w:val="en-US" w:eastAsia="zh-CN" w:bidi="ar-SA"/>
    </w:rPr>
  </w:style>
  <w:style w:type="paragraph" w:customStyle="1" w:styleId="41">
    <w:name w:val="标书标题4级"/>
    <w:next w:val="37"/>
    <w:qFormat/>
    <w:uiPriority w:val="0"/>
    <w:pPr>
      <w:numPr>
        <w:ilvl w:val="3"/>
        <w:numId w:val="1"/>
      </w:numPr>
      <w:spacing w:line="360" w:lineRule="auto"/>
      <w:outlineLvl w:val="3"/>
    </w:pPr>
    <w:rPr>
      <w:rFonts w:ascii="宋体" w:hAnsi="宋体" w:eastAsia="宋体" w:cstheme="minorBidi"/>
      <w:b/>
      <w:kern w:val="2"/>
      <w:sz w:val="24"/>
      <w:szCs w:val="24"/>
      <w:lang w:val="en-US" w:eastAsia="zh-CN" w:bidi="ar-SA"/>
    </w:rPr>
  </w:style>
  <w:style w:type="paragraph" w:customStyle="1" w:styleId="42">
    <w:name w:val="标书标题5级"/>
    <w:next w:val="37"/>
    <w:qFormat/>
    <w:uiPriority w:val="0"/>
    <w:pPr>
      <w:numPr>
        <w:ilvl w:val="4"/>
        <w:numId w:val="1"/>
      </w:numPr>
      <w:spacing w:line="360" w:lineRule="auto"/>
      <w:outlineLvl w:val="4"/>
    </w:pPr>
    <w:rPr>
      <w:rFonts w:ascii="宋体" w:hAnsi="宋体" w:eastAsia="宋体" w:cstheme="minorBidi"/>
      <w:b/>
      <w:kern w:val="2"/>
      <w:sz w:val="21"/>
      <w:szCs w:val="21"/>
      <w:lang w:val="en-US" w:eastAsia="zh-CN" w:bidi="ar-SA"/>
    </w:rPr>
  </w:style>
  <w:style w:type="paragraph" w:customStyle="1" w:styleId="43">
    <w:name w:val="标书标题6级"/>
    <w:next w:val="37"/>
    <w:qFormat/>
    <w:uiPriority w:val="0"/>
    <w:pPr>
      <w:numPr>
        <w:ilvl w:val="5"/>
        <w:numId w:val="1"/>
      </w:numPr>
      <w:spacing w:line="360" w:lineRule="auto"/>
    </w:pPr>
    <w:rPr>
      <w:rFonts w:ascii="宋体" w:hAnsi="宋体" w:eastAsia="宋体" w:cstheme="minorBidi"/>
      <w:b/>
      <w:kern w:val="2"/>
      <w:sz w:val="21"/>
      <w:szCs w:val="21"/>
      <w:lang w:val="en-US" w:eastAsia="zh-CN" w:bidi="ar-SA"/>
    </w:rPr>
  </w:style>
  <w:style w:type="paragraph" w:customStyle="1" w:styleId="44">
    <w:name w:val="标书标题7级"/>
    <w:next w:val="37"/>
    <w:qFormat/>
    <w:uiPriority w:val="0"/>
    <w:pPr>
      <w:numPr>
        <w:ilvl w:val="6"/>
        <w:numId w:val="1"/>
      </w:numPr>
      <w:spacing w:line="360" w:lineRule="auto"/>
    </w:pPr>
    <w:rPr>
      <w:rFonts w:ascii="宋体" w:hAnsi="宋体" w:eastAsia="宋体" w:cstheme="minorBidi"/>
      <w:b/>
      <w:kern w:val="2"/>
      <w:sz w:val="21"/>
      <w:szCs w:val="21"/>
      <w:lang w:val="en-US" w:eastAsia="zh-CN" w:bidi="ar-SA"/>
    </w:rPr>
  </w:style>
  <w:style w:type="paragraph" w:customStyle="1" w:styleId="45">
    <w:name w:val="标书标题8级"/>
    <w:next w:val="37"/>
    <w:qFormat/>
    <w:uiPriority w:val="0"/>
    <w:pPr>
      <w:numPr>
        <w:ilvl w:val="7"/>
        <w:numId w:val="1"/>
      </w:numPr>
      <w:spacing w:line="360" w:lineRule="auto"/>
    </w:pPr>
    <w:rPr>
      <w:rFonts w:ascii="宋体" w:hAnsi="宋体" w:eastAsia="宋体" w:cstheme="minorBidi"/>
      <w:b/>
      <w:kern w:val="2"/>
      <w:sz w:val="21"/>
      <w:szCs w:val="21"/>
      <w:lang w:val="en-US" w:eastAsia="zh-CN" w:bidi="ar-SA"/>
    </w:rPr>
  </w:style>
  <w:style w:type="paragraph" w:customStyle="1" w:styleId="46">
    <w:name w:val="标书标题9级"/>
    <w:next w:val="37"/>
    <w:qFormat/>
    <w:uiPriority w:val="0"/>
    <w:pPr>
      <w:numPr>
        <w:ilvl w:val="8"/>
        <w:numId w:val="1"/>
      </w:numPr>
      <w:spacing w:line="360" w:lineRule="auto"/>
    </w:pPr>
    <w:rPr>
      <w:rFonts w:ascii="宋体" w:hAnsi="宋体" w:eastAsia="宋体" w:cstheme="minorBidi"/>
      <w:b/>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5761</Words>
  <Characters>6033</Characters>
  <Lines>44</Lines>
  <Paragraphs>12</Paragraphs>
  <TotalTime>2</TotalTime>
  <ScaleCrop>false</ScaleCrop>
  <LinksUpToDate>false</LinksUpToDate>
  <CharactersWithSpaces>6070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2023-04-17T01:23:00Z</dcterms:created>
  <dc:creator>帅</dc:creator>
  <cp:lastModifiedBy>李施焜</cp:lastModifiedBy>
  <cp:lastPrinted>2019-03-27T08:23:00Z</cp:lastPrinted>
  <dcterms:modified xsi:type="dcterms:W3CDTF">2023-04-17T06:33:16Z</dcterms:modified>
  <dc:title>公开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_DocHome">
    <vt:r8>912394690</vt:r8>
  </property>
  <property fmtid="{D5CDD505-2E9C-101B-9397-08002B2CF9AE}" pid="4" name="ICV">
    <vt:lpwstr>D3B8B142CD45441EBCD7E4BBF4E01F19</vt:lpwstr>
  </property>
</Properties>
</file>