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413415657"/>
      <w:r>
        <w:t>用户需求书</w:t>
      </w:r>
      <w:bookmarkEnd w:id="0"/>
    </w:p>
    <w:p>
      <w:pPr>
        <w:spacing w:line="360" w:lineRule="auto"/>
        <w:ind w:firstLine="420" w:firstLineChars="200"/>
        <w:rPr>
          <w:rFonts w:ascii="Times New Roman"/>
          <w:sz w:val="21"/>
          <w:szCs w:val="21"/>
        </w:rPr>
      </w:pPr>
      <w:bookmarkStart w:id="1" w:name="OLE_LINK17"/>
    </w:p>
    <w:p>
      <w:pPr>
        <w:spacing w:line="360" w:lineRule="auto"/>
        <w:rPr>
          <w:rFonts w:ascii="Times New Roman"/>
          <w:szCs w:val="21"/>
          <w:lang w:val="zh-CN"/>
        </w:rPr>
      </w:pPr>
      <w:r>
        <w:rPr>
          <w:rFonts w:ascii="Times New Roman"/>
          <w:b/>
          <w:bCs/>
          <w:szCs w:val="21"/>
          <w:lang w:val="zh-CN"/>
        </w:rPr>
        <w:t>采购项目名称：</w:t>
      </w:r>
      <w:r>
        <w:rPr>
          <w:rFonts w:hint="eastAsia" w:ascii="Times New Roman"/>
          <w:szCs w:val="21"/>
          <w:lang w:val="zh-CN"/>
        </w:rPr>
        <w:t>广东科学中心主题场馆智慧物联网烟感探测设备采购项目</w:t>
      </w:r>
    </w:p>
    <w:p>
      <w:pPr>
        <w:spacing w:line="360" w:lineRule="auto"/>
        <w:rPr>
          <w:rFonts w:ascii="Times New Roman"/>
          <w:szCs w:val="21"/>
          <w:lang w:val="zh-CN"/>
        </w:rPr>
      </w:pPr>
      <w:r>
        <w:rPr>
          <w:rFonts w:hint="eastAsia" w:ascii="Times New Roman"/>
          <w:szCs w:val="21"/>
          <w:lang w:val="zh-CN"/>
        </w:rPr>
        <w:t>本《用户需求书》中标注有“★”的条款必须实质性响应，负偏离（不满足要求）将导致报价无效</w:t>
      </w:r>
    </w:p>
    <w:bookmarkEnd w:id="1"/>
    <w:p>
      <w:pPr>
        <w:spacing w:line="360" w:lineRule="auto"/>
        <w:rPr>
          <w:rFonts w:ascii="Times New Roman"/>
          <w:szCs w:val="21"/>
          <w:lang w:val="zh-CN"/>
        </w:rPr>
      </w:pPr>
      <w:bookmarkStart w:id="2" w:name="_Toc396226562"/>
      <w:r>
        <w:rPr>
          <w:rFonts w:hint="eastAsia" w:ascii="Times New Roman"/>
          <w:szCs w:val="21"/>
          <w:lang w:val="zh-CN"/>
        </w:rPr>
        <w:t>★根据粤府令第238号《广东省安全技术防范管理实施办法》要求第二章第九条、第五章第四十条等相关规定，本项目中安装的设备均需符合技防标准的技防产品或技防系统，本项目要求参加报价的单位需具有《广东省安全技术防范系统设计、施工、维修资格证》三级（或以上）资质证书（如在外省获得省级或以上部门颁发的《安全技术防范系统设计、施工、维修资格证》三级（或以上）资质证书的需同时提供在广东省备案的证明文件）。</w:t>
      </w:r>
    </w:p>
    <w:p>
      <w:pPr>
        <w:rPr>
          <w:rFonts w:ascii="Times New Roman"/>
        </w:rPr>
      </w:pPr>
    </w:p>
    <w:p>
      <w:pPr>
        <w:pStyle w:val="2"/>
      </w:pPr>
      <w:r>
        <w:t>技术部分</w:t>
      </w:r>
    </w:p>
    <w:p>
      <w:pPr>
        <w:pStyle w:val="3"/>
      </w:pPr>
      <w:r>
        <w:t>一、</w:t>
      </w:r>
      <w:bookmarkStart w:id="3" w:name="_Toc45048052"/>
      <w:r>
        <w:t>项目背景</w:t>
      </w:r>
    </w:p>
    <w:p>
      <w:pPr>
        <w:spacing w:line="360" w:lineRule="auto"/>
        <w:ind w:firstLine="480" w:firstLineChars="200"/>
        <w:jc w:val="both"/>
      </w:pPr>
      <w:r>
        <w:rPr>
          <w:rFonts w:hint="eastAsia"/>
        </w:rPr>
        <w:t>随着现代化建设步伐的加快，消防安全管理变得愈加重要。近年国务院办公厅发布的《消防安全责任制实施办法》，首次对消防安全责任制的实施作出全面、具体规定，进一步明确消防安全责任，建立完善消防安全责任体系，坚决预防和遏制重特大火灾事故发生。</w:t>
      </w:r>
    </w:p>
    <w:p>
      <w:pPr>
        <w:spacing w:line="360" w:lineRule="auto"/>
        <w:ind w:firstLine="480" w:firstLineChars="200"/>
        <w:jc w:val="both"/>
      </w:pPr>
      <w:r>
        <w:rPr>
          <w:rFonts w:hint="eastAsia"/>
        </w:rPr>
        <w:t>由于场馆建筑空间较高，且场馆活动布展场景复杂，现有消防烟感等各类消防探测器无法满足场馆深度消防监测。本次项目综合应用物联网技术手段，以“预防为主，防消结合”为指导思想，实现加强广东科学中心场馆消防火灾防控能力，从而最大程度地降低火灾发生的概率，提升场馆整体消防防控能力，助力火灾风险早发现、早预警、早处置。</w:t>
      </w:r>
    </w:p>
    <w:p>
      <w:pPr>
        <w:pStyle w:val="4"/>
      </w:pPr>
      <w:bookmarkStart w:id="4" w:name="_Toc44616013"/>
      <w:r>
        <w:t>1.1 建设范围</w:t>
      </w:r>
    </w:p>
    <w:p>
      <w:pPr>
        <w:pStyle w:val="37"/>
        <w:ind w:firstLine="480"/>
      </w:pPr>
      <w:r>
        <w:rPr>
          <w:rFonts w:hint="eastAsia"/>
        </w:rPr>
        <w:t>对广东科学中心二楼的实验与发现、儿童天地、技术与创新、绿色家园、飞天之梦、人与健康、感知与思维、低碳馆新能源科普馆和三楼的广东省食品药品科普体验馆等9个场馆进行无线火灾报警检测。各场馆通过传输媒介把信号信息回传到监控中心，接入并调试机房侧安防服务器，通过在原有综合管理平台上新增1套消防系统平台模块，实现协助消防安全管理及调度。</w:t>
      </w:r>
    </w:p>
    <w:p>
      <w:pPr>
        <w:pStyle w:val="4"/>
      </w:pPr>
      <w:r>
        <w:t xml:space="preserve">1.2 </w:t>
      </w:r>
      <w:r>
        <w:rPr>
          <w:rFonts w:hint="eastAsia"/>
        </w:rPr>
        <w:t>项目</w:t>
      </w:r>
      <w:bookmarkEnd w:id="4"/>
      <w:bookmarkStart w:id="5" w:name="_Hlk23445009"/>
      <w:r>
        <w:t>概况</w:t>
      </w:r>
    </w:p>
    <w:p>
      <w:pPr>
        <w:pStyle w:val="5"/>
        <w:rPr>
          <w:rFonts w:ascii="Times New Roman" w:hAnsi="Times New Roman"/>
          <w:szCs w:val="24"/>
        </w:rPr>
      </w:pPr>
      <w:r>
        <w:rPr>
          <w:rFonts w:ascii="Times New Roman" w:hAnsi="Times New Roman"/>
          <w:szCs w:val="24"/>
        </w:rPr>
        <w:t xml:space="preserve">1.2.1 </w:t>
      </w:r>
      <w:r>
        <w:rPr>
          <w:rFonts w:ascii="Times New Roman"/>
          <w:szCs w:val="24"/>
          <w:lang w:val="zh-CN"/>
        </w:rPr>
        <w:t>项目内容</w:t>
      </w:r>
    </w:p>
    <w:bookmarkEnd w:id="3"/>
    <w:bookmarkEnd w:id="5"/>
    <w:p>
      <w:pPr>
        <w:pStyle w:val="37"/>
        <w:ind w:firstLine="480"/>
      </w:pPr>
      <w:bookmarkStart w:id="6" w:name="_Toc45048053"/>
      <w:r>
        <w:rPr>
          <w:rFonts w:hint="eastAsia"/>
        </w:rPr>
        <w:t>广东科学中心为大型综合性科普场馆，依据《关于积极推动发挥独立式火灾探测报警火灾防控作用的指导意见》、《关于全面推进“智慧消防”建设的指导意见》（公消[2017]297</w:t>
      </w:r>
      <w:r>
        <w:t>号</w:t>
      </w:r>
      <w:r>
        <w:rPr>
          <w:rFonts w:hint="eastAsia"/>
        </w:rPr>
        <w:t>）等国家相关法律规则、国家及行业的相关标准等，本次通过部署无线消防系统实现轻量化、简单化，具备灵活快速部署、覆盖范围大、反应及时、经济实惠的优势，满足场馆消防安全管理的广度、深度监测的需要。</w:t>
      </w:r>
    </w:p>
    <w:p>
      <w:pPr>
        <w:pStyle w:val="37"/>
        <w:ind w:firstLine="480"/>
      </w:pPr>
      <w:r>
        <w:rPr>
          <w:rFonts w:hint="eastAsia"/>
        </w:rPr>
        <w:t>消防系统管理平台通过LoRa无线手段，及时获取现场的烟雾浓度数据及报警信息，提升消防预警能力。本次建设无线火灾报警的模式如下：</w:t>
      </w:r>
    </w:p>
    <w:p>
      <w:pPr>
        <w:pStyle w:val="37"/>
        <w:ind w:firstLine="480"/>
      </w:pPr>
      <w:r>
        <w:rPr>
          <w:rFonts w:hint="eastAsia"/>
        </w:rPr>
        <w:t>1、LoRa传输：通过消防物联网网关实现</w:t>
      </w:r>
      <w:r>
        <w:t>LoRa</w:t>
      </w:r>
      <w:r>
        <w:rPr>
          <w:rFonts w:hint="eastAsia"/>
        </w:rPr>
        <w:t>无线通讯组网，感烟探测器、火灾声光报警器、手动火灾报警按钮采用LoRa方式，把烟雾浓度数据、报警数据等通过物联网消防报警网关，传送到消防系统管理平台。</w:t>
      </w:r>
    </w:p>
    <w:p>
      <w:pPr>
        <w:pStyle w:val="5"/>
        <w:rPr>
          <w:rFonts w:ascii="Times New Roman" w:hAnsi="Times New Roman"/>
          <w:szCs w:val="24"/>
        </w:rPr>
      </w:pPr>
      <w:r>
        <w:rPr>
          <w:rFonts w:ascii="Times New Roman" w:hAnsi="Times New Roman"/>
          <w:szCs w:val="24"/>
        </w:rPr>
        <w:t>1.</w:t>
      </w:r>
      <w:r>
        <w:rPr>
          <w:rFonts w:hint="eastAsia" w:ascii="Times New Roman" w:hAnsi="Times New Roman"/>
          <w:szCs w:val="24"/>
        </w:rPr>
        <w:t>2.1</w:t>
      </w:r>
      <w:r>
        <w:rPr>
          <w:rFonts w:ascii="Times New Roman" w:hAnsi="Times New Roman"/>
          <w:szCs w:val="24"/>
        </w:rPr>
        <w:t xml:space="preserve"> </w:t>
      </w:r>
      <w:bookmarkEnd w:id="6"/>
      <w:r>
        <w:rPr>
          <w:rFonts w:hint="eastAsia" w:ascii="Times New Roman" w:hAnsi="Times New Roman"/>
          <w:szCs w:val="24"/>
        </w:rPr>
        <w:t>系统概述</w:t>
      </w:r>
    </w:p>
    <w:p>
      <w:pPr>
        <w:spacing w:line="360" w:lineRule="auto"/>
        <w:ind w:firstLine="480" w:firstLineChars="200"/>
        <w:rPr>
          <w:rFonts w:hAnsi="宋体" w:cstheme="minorBidi"/>
          <w:kern w:val="2"/>
          <w:szCs w:val="21"/>
        </w:rPr>
      </w:pPr>
      <w:r>
        <w:rPr>
          <w:rFonts w:hint="eastAsia" w:hAnsi="宋体" w:cstheme="minorBidi"/>
          <w:kern w:val="2"/>
          <w:szCs w:val="21"/>
        </w:rPr>
        <w:t>通过本次项目安装设备，实现对科学中心主题场馆火灾安全隐患位置实时在线监测与远程联网管理，同时满足中心场馆举行各类活动的灵活布展需求。本次建设9个主题场馆，共320套无线烟感报警设备及配套设施。</w:t>
      </w:r>
    </w:p>
    <w:p>
      <w:pPr>
        <w:spacing w:line="360" w:lineRule="auto"/>
        <w:ind w:firstLine="480" w:firstLineChars="200"/>
      </w:pPr>
      <w:r>
        <w:rPr>
          <w:rFonts w:hint="eastAsia" w:hAnsi="宋体" w:cstheme="minorBidi"/>
          <w:kern w:val="2"/>
          <w:szCs w:val="21"/>
        </w:rPr>
        <w:t>采用LoRa物联网通信技术实现场馆内无线烟感探测设备与系统进行通信，根据场馆建筑布局、活动布展场景、设施形态等配置烟感探测设备，实线场景内无线信号全覆盖并通过场馆就近弱电间现有光纤/网络交换机将报警信号、设备状态等信息传输至中心消防控制室，接入现有消防系统，实现现场和监控中心告警，并与安全防范系统综合显示屏实现综合安防管理联动告警。</w:t>
      </w:r>
    </w:p>
    <w:p>
      <w:pPr>
        <w:widowControl/>
        <w:autoSpaceDE/>
        <w:autoSpaceDN/>
        <w:adjustRightInd/>
      </w:pPr>
      <w:r>
        <w:br w:type="page"/>
      </w:r>
    </w:p>
    <w:p>
      <w:pPr>
        <w:pStyle w:val="3"/>
      </w:pPr>
      <w:bookmarkStart w:id="7" w:name="_Toc45048057"/>
      <w:r>
        <w:t>二、项目内容及要求</w:t>
      </w:r>
      <w:bookmarkEnd w:id="7"/>
    </w:p>
    <w:p>
      <w:pPr>
        <w:pStyle w:val="4"/>
      </w:pPr>
      <w:bookmarkStart w:id="8" w:name="_Toc45048058"/>
      <w:r>
        <w:t>2.1</w:t>
      </w:r>
      <w:bookmarkEnd w:id="8"/>
      <w:r>
        <w:t xml:space="preserve"> 项目内容</w:t>
      </w:r>
    </w:p>
    <w:p>
      <w:pPr>
        <w:pStyle w:val="37"/>
        <w:ind w:firstLine="480"/>
      </w:pPr>
      <w:r>
        <w:rPr>
          <w:rFonts w:hint="eastAsia"/>
        </w:rPr>
        <w:t>本项目主要对广东科学中心二楼的实验与发现、儿童天地、技术与创新、绿色家园、飞天之梦、人与健康、感知与思维、低碳馆新能源科普馆和三楼的广东省食品药品科普体验馆等9个场馆进行无线火灾报警监测。各场馆通过传输媒介把信号信息回传到监控中心，接入并调试机房侧安防服务器，通过在原有综合管理平台上新增1套消防系统平台模块，实现协助消防安全管理及调度。主要内容如下：</w:t>
      </w:r>
    </w:p>
    <w:p>
      <w:pPr>
        <w:numPr>
          <w:ilvl w:val="0"/>
          <w:numId w:val="2"/>
        </w:numPr>
        <w:autoSpaceDE/>
        <w:autoSpaceDN/>
        <w:adjustRightInd/>
        <w:spacing w:line="360" w:lineRule="auto"/>
        <w:ind w:left="480" w:hanging="480" w:hangingChars="200"/>
        <w:rPr>
          <w:rFonts w:ascii="Arial" w:hAnsi="Arial" w:cs="宋体"/>
          <w:kern w:val="2"/>
          <w:szCs w:val="20"/>
          <w:lang w:val="zh-CN"/>
        </w:rPr>
      </w:pPr>
      <w:r>
        <w:rPr>
          <w:rFonts w:hint="eastAsia" w:ascii="Arial" w:hAnsi="Arial" w:cs="宋体"/>
          <w:kern w:val="2"/>
          <w:szCs w:val="20"/>
          <w:lang w:val="zh-CN"/>
        </w:rPr>
        <w:t>新增320台感烟探测器</w:t>
      </w:r>
      <w:r>
        <w:rPr>
          <w:rFonts w:hint="eastAsia" w:hAnsi="宋体" w:cstheme="minorBidi"/>
          <w:kern w:val="2"/>
          <w:szCs w:val="21"/>
        </w:rPr>
        <w:t>（LoRa通讯）</w:t>
      </w:r>
      <w:r>
        <w:rPr>
          <w:rFonts w:hint="eastAsia" w:ascii="Arial" w:hAnsi="Arial" w:cs="宋体"/>
          <w:kern w:val="2"/>
          <w:szCs w:val="20"/>
          <w:lang w:val="zh-CN"/>
        </w:rPr>
        <w:t>，根据建设方要求对9个主题场馆中展项柜进行报警监测；安装位置根据现场需求调整；</w:t>
      </w:r>
    </w:p>
    <w:p>
      <w:pPr>
        <w:numPr>
          <w:ilvl w:val="0"/>
          <w:numId w:val="2"/>
        </w:numPr>
        <w:autoSpaceDE/>
        <w:autoSpaceDN/>
        <w:adjustRightInd/>
        <w:spacing w:line="360" w:lineRule="auto"/>
        <w:ind w:left="480" w:hanging="480" w:hangingChars="200"/>
        <w:rPr>
          <w:rFonts w:ascii="Arial" w:hAnsi="Arial" w:cs="宋体"/>
          <w:kern w:val="2"/>
          <w:szCs w:val="20"/>
          <w:lang w:val="zh-CN"/>
        </w:rPr>
      </w:pPr>
      <w:r>
        <w:rPr>
          <w:rFonts w:hint="eastAsia" w:ascii="Arial" w:hAnsi="Arial" w:cs="宋体"/>
          <w:kern w:val="2"/>
          <w:szCs w:val="20"/>
          <w:lang w:val="zh-CN"/>
        </w:rPr>
        <w:t>新增20台火灾声光报警器</w:t>
      </w:r>
      <w:r>
        <w:rPr>
          <w:rFonts w:hint="eastAsia" w:hAnsi="宋体" w:cstheme="minorBidi"/>
          <w:kern w:val="2"/>
          <w:szCs w:val="21"/>
        </w:rPr>
        <w:t>（LoRa通讯）</w:t>
      </w:r>
      <w:r>
        <w:rPr>
          <w:rFonts w:hint="eastAsia" w:ascii="Arial" w:hAnsi="Arial" w:cs="宋体"/>
          <w:kern w:val="2"/>
          <w:szCs w:val="20"/>
          <w:lang w:val="zh-CN"/>
        </w:rPr>
        <w:t>，原则每个主题场馆布置2台，安装位置根据现场需求调整；</w:t>
      </w:r>
    </w:p>
    <w:p>
      <w:pPr>
        <w:numPr>
          <w:ilvl w:val="0"/>
          <w:numId w:val="2"/>
        </w:numPr>
        <w:autoSpaceDE/>
        <w:autoSpaceDN/>
        <w:adjustRightInd/>
        <w:spacing w:line="360" w:lineRule="auto"/>
        <w:ind w:left="480" w:hanging="480" w:hangingChars="200"/>
        <w:rPr>
          <w:rFonts w:ascii="Arial" w:hAnsi="Arial" w:cs="宋体"/>
          <w:kern w:val="2"/>
          <w:szCs w:val="20"/>
          <w:lang w:val="zh-CN"/>
        </w:rPr>
      </w:pPr>
      <w:r>
        <w:rPr>
          <w:rFonts w:hint="eastAsia" w:ascii="Arial" w:hAnsi="Arial" w:cs="宋体"/>
          <w:kern w:val="2"/>
          <w:szCs w:val="20"/>
          <w:lang w:val="zh-CN"/>
        </w:rPr>
        <w:t>新增10台手动火灾报警按钮</w:t>
      </w:r>
      <w:r>
        <w:rPr>
          <w:rFonts w:hint="eastAsia" w:hAnsi="宋体" w:cstheme="minorBidi"/>
          <w:kern w:val="2"/>
          <w:szCs w:val="21"/>
        </w:rPr>
        <w:t>（LoRa通讯）</w:t>
      </w:r>
      <w:r>
        <w:rPr>
          <w:rFonts w:hint="eastAsia" w:ascii="Arial" w:hAnsi="Arial" w:cs="宋体"/>
          <w:kern w:val="2"/>
          <w:szCs w:val="20"/>
          <w:lang w:val="zh-CN"/>
        </w:rPr>
        <w:t>，原则每个主题场馆布置1台，安装位置根据现场需求调整；</w:t>
      </w:r>
    </w:p>
    <w:p>
      <w:pPr>
        <w:numPr>
          <w:ilvl w:val="0"/>
          <w:numId w:val="2"/>
        </w:numPr>
        <w:autoSpaceDE/>
        <w:autoSpaceDN/>
        <w:adjustRightInd/>
        <w:spacing w:line="360" w:lineRule="auto"/>
        <w:ind w:left="480" w:hanging="480" w:hangingChars="200"/>
        <w:rPr>
          <w:rFonts w:ascii="Arial" w:hAnsi="Arial" w:cs="宋体"/>
          <w:kern w:val="2"/>
          <w:szCs w:val="20"/>
          <w:lang w:val="zh-CN"/>
        </w:rPr>
      </w:pPr>
      <w:r>
        <w:rPr>
          <w:rFonts w:hint="eastAsia" w:ascii="Arial" w:hAnsi="Arial" w:cs="宋体"/>
          <w:kern w:val="2"/>
          <w:szCs w:val="20"/>
          <w:lang w:val="zh-CN"/>
        </w:rPr>
        <w:t>新增20台消防物联网网关，实现</w:t>
      </w:r>
      <w:r>
        <w:rPr>
          <w:rFonts w:hint="eastAsia" w:hAnsi="宋体" w:cstheme="minorBidi"/>
          <w:kern w:val="2"/>
          <w:szCs w:val="21"/>
        </w:rPr>
        <w:t>LoRa</w:t>
      </w:r>
      <w:r>
        <w:rPr>
          <w:rFonts w:hint="eastAsia" w:ascii="Arial" w:hAnsi="Arial" w:cs="宋体"/>
          <w:kern w:val="2"/>
          <w:szCs w:val="20"/>
          <w:lang w:val="zh-CN"/>
        </w:rPr>
        <w:t>无线通讯组网，避免盲点，根据实施现场调整；</w:t>
      </w:r>
    </w:p>
    <w:p>
      <w:pPr>
        <w:numPr>
          <w:ilvl w:val="0"/>
          <w:numId w:val="2"/>
        </w:numPr>
        <w:autoSpaceDE/>
        <w:autoSpaceDN/>
        <w:adjustRightInd/>
        <w:spacing w:line="360" w:lineRule="auto"/>
        <w:ind w:left="480" w:hanging="480" w:hangingChars="200"/>
        <w:rPr>
          <w:rFonts w:ascii="Arial" w:hAnsi="Arial" w:cs="宋体"/>
          <w:kern w:val="2"/>
          <w:szCs w:val="20"/>
          <w:lang w:val="zh-CN"/>
        </w:rPr>
      </w:pPr>
      <w:r>
        <w:rPr>
          <w:rFonts w:ascii="Arial" w:hAnsi="Arial" w:cs="宋体"/>
          <w:kern w:val="2"/>
          <w:szCs w:val="20"/>
          <w:lang w:val="zh-CN"/>
        </w:rPr>
        <w:t>新增</w:t>
      </w:r>
      <w:r>
        <w:rPr>
          <w:rFonts w:hint="eastAsia" w:ascii="Arial" w:hAnsi="Arial" w:cs="宋体"/>
          <w:kern w:val="2"/>
          <w:szCs w:val="20"/>
          <w:lang w:val="zh-CN"/>
        </w:rPr>
        <w:t>传输媒介，将各场馆的检测信号信息回传到监控中心；</w:t>
      </w:r>
    </w:p>
    <w:p>
      <w:pPr>
        <w:numPr>
          <w:ilvl w:val="0"/>
          <w:numId w:val="2"/>
        </w:numPr>
        <w:autoSpaceDE/>
        <w:autoSpaceDN/>
        <w:adjustRightInd/>
        <w:spacing w:line="360" w:lineRule="auto"/>
        <w:ind w:left="480" w:hanging="480" w:hangingChars="200"/>
        <w:rPr>
          <w:rFonts w:ascii="Arial" w:hAnsi="Arial" w:cs="宋体"/>
          <w:kern w:val="2"/>
          <w:szCs w:val="20"/>
          <w:lang w:val="zh-CN"/>
        </w:rPr>
      </w:pPr>
      <w:r>
        <w:rPr>
          <w:rFonts w:hint="eastAsia" w:ascii="Arial" w:hAnsi="Arial" w:cs="宋体"/>
          <w:kern w:val="2"/>
          <w:szCs w:val="20"/>
          <w:lang w:val="zh-CN"/>
        </w:rPr>
        <w:t>调试1套原有服务器，进行安检区的信息处理；</w:t>
      </w:r>
    </w:p>
    <w:p>
      <w:pPr>
        <w:numPr>
          <w:ilvl w:val="0"/>
          <w:numId w:val="2"/>
        </w:numPr>
        <w:autoSpaceDE/>
        <w:autoSpaceDN/>
        <w:adjustRightInd/>
        <w:spacing w:line="360" w:lineRule="auto"/>
        <w:ind w:left="480" w:hanging="480" w:hangingChars="200"/>
        <w:rPr>
          <w:rFonts w:ascii="Arial" w:hAnsi="Arial" w:cs="宋体"/>
          <w:kern w:val="2"/>
          <w:szCs w:val="20"/>
          <w:lang w:val="zh-CN"/>
        </w:rPr>
      </w:pPr>
      <w:r>
        <w:rPr>
          <w:rFonts w:hint="eastAsia" w:ascii="Arial" w:hAnsi="Arial" w:cs="宋体"/>
          <w:kern w:val="2"/>
          <w:szCs w:val="20"/>
          <w:lang w:val="zh-CN"/>
        </w:rPr>
        <w:t>新增1套综合安防管理平台的消防系统管理模块，实现统一的消防安全管理。</w:t>
      </w:r>
    </w:p>
    <w:p>
      <w:pPr>
        <w:rPr>
          <w:lang w:val="zh-CN"/>
        </w:rPr>
      </w:pPr>
    </w:p>
    <w:p>
      <w:pPr>
        <w:pStyle w:val="4"/>
        <w:rPr>
          <w:sz w:val="28"/>
          <w:szCs w:val="28"/>
        </w:rPr>
      </w:pPr>
      <w:r>
        <w:rPr>
          <w:sz w:val="28"/>
          <w:szCs w:val="28"/>
        </w:rPr>
        <w:t>2.</w:t>
      </w:r>
      <w:r>
        <w:rPr>
          <w:rFonts w:hint="eastAsia"/>
          <w:sz w:val="28"/>
          <w:szCs w:val="28"/>
        </w:rPr>
        <w:t xml:space="preserve">2 </w:t>
      </w:r>
      <w:r>
        <w:rPr>
          <w:sz w:val="28"/>
          <w:szCs w:val="28"/>
        </w:rPr>
        <w:t>设备清单</w:t>
      </w:r>
    </w:p>
    <w:p>
      <w:pPr>
        <w:ind w:firstLine="562" w:firstLineChars="200"/>
        <w:rPr>
          <w:b/>
          <w:sz w:val="28"/>
          <w:szCs w:val="28"/>
        </w:rPr>
      </w:pPr>
      <w:r>
        <w:rPr>
          <w:b/>
          <w:sz w:val="28"/>
          <w:szCs w:val="28"/>
        </w:rPr>
        <w:t>本项目设备参数及数量要求如下</w:t>
      </w:r>
      <w:r>
        <w:rPr>
          <w:rFonts w:hint="eastAsia"/>
          <w:b/>
          <w:sz w:val="28"/>
          <w:szCs w:val="28"/>
        </w:rPr>
        <w:t>，</w:t>
      </w:r>
      <w:r>
        <w:rPr>
          <w:b/>
          <w:sz w:val="28"/>
          <w:szCs w:val="28"/>
        </w:rPr>
        <w:t>其中</w:t>
      </w:r>
      <w:r>
        <w:rPr>
          <w:rFonts w:hint="eastAsia"/>
          <w:b/>
          <w:sz w:val="28"/>
          <w:szCs w:val="28"/>
        </w:rPr>
        <w:t>“</w:t>
      </w:r>
      <w:r>
        <w:rPr>
          <w:rFonts w:hint="eastAsia" w:hAnsi="宋体" w:cs="宋体"/>
          <w:b/>
          <w:sz w:val="28"/>
          <w:szCs w:val="28"/>
        </w:rPr>
        <w:t>★</w:t>
      </w:r>
      <w:r>
        <w:rPr>
          <w:rFonts w:hint="eastAsia"/>
          <w:b/>
          <w:sz w:val="28"/>
          <w:szCs w:val="28"/>
        </w:rPr>
        <w:t>”标号为不可偏离项，并要求报价人提供清单要求实质性响应证明文件。</w:t>
      </w:r>
    </w:p>
    <w:p>
      <w:pPr>
        <w:ind w:firstLine="562" w:firstLineChars="200"/>
        <w:rPr>
          <w:b/>
          <w:sz w:val="28"/>
          <w:szCs w:val="28"/>
        </w:rPr>
        <w:sectPr>
          <w:type w:val="nextColumn"/>
          <w:pgSz w:w="11907" w:h="16840"/>
          <w:pgMar w:top="1304" w:right="1843" w:bottom="1247" w:left="1418" w:header="720" w:footer="720" w:gutter="0"/>
          <w:cols w:space="720" w:num="1"/>
        </w:sectPr>
      </w:pPr>
    </w:p>
    <w:tbl>
      <w:tblPr>
        <w:tblStyle w:val="17"/>
        <w:tblW w:w="14793" w:type="dxa"/>
        <w:tblInd w:w="0" w:type="dxa"/>
        <w:tblLayout w:type="fixed"/>
        <w:tblCellMar>
          <w:top w:w="0" w:type="dxa"/>
          <w:left w:w="108" w:type="dxa"/>
          <w:bottom w:w="0" w:type="dxa"/>
          <w:right w:w="108" w:type="dxa"/>
        </w:tblCellMar>
      </w:tblPr>
      <w:tblGrid>
        <w:gridCol w:w="908"/>
        <w:gridCol w:w="1528"/>
        <w:gridCol w:w="10713"/>
        <w:gridCol w:w="851"/>
        <w:gridCol w:w="793"/>
      </w:tblGrid>
      <w:tr>
        <w:tblPrEx>
          <w:tblCellMar>
            <w:top w:w="0" w:type="dxa"/>
            <w:left w:w="108" w:type="dxa"/>
            <w:bottom w:w="0" w:type="dxa"/>
            <w:right w:w="108" w:type="dxa"/>
          </w:tblCellMar>
        </w:tblPrEx>
        <w:trPr>
          <w:trHeight w:val="394" w:hRule="atLeast"/>
          <w:tblHeader/>
        </w:trPr>
        <w:tc>
          <w:tcPr>
            <w:tcW w:w="908" w:type="dxa"/>
            <w:tcBorders>
              <w:top w:val="single" w:color="auto" w:sz="4" w:space="0"/>
              <w:left w:val="single" w:color="auto" w:sz="4" w:space="0"/>
              <w:bottom w:val="nil"/>
              <w:right w:val="single" w:color="auto" w:sz="4" w:space="0"/>
            </w:tcBorders>
            <w:shd w:val="clear" w:color="000000" w:fill="C00000"/>
            <w:vAlign w:val="center"/>
          </w:tcPr>
          <w:p>
            <w:r>
              <w:rPr>
                <w:rFonts w:hint="eastAsia"/>
              </w:rPr>
              <w:t>序号</w:t>
            </w:r>
          </w:p>
        </w:tc>
        <w:tc>
          <w:tcPr>
            <w:tcW w:w="1528" w:type="dxa"/>
            <w:tcBorders>
              <w:top w:val="single" w:color="auto" w:sz="4" w:space="0"/>
              <w:left w:val="nil"/>
              <w:bottom w:val="nil"/>
              <w:right w:val="single" w:color="auto" w:sz="4" w:space="0"/>
            </w:tcBorders>
            <w:shd w:val="clear" w:color="000000" w:fill="C00000"/>
            <w:vAlign w:val="center"/>
          </w:tcPr>
          <w:p>
            <w:r>
              <w:rPr>
                <w:rFonts w:hint="eastAsia"/>
              </w:rPr>
              <w:t>设备</w:t>
            </w:r>
          </w:p>
        </w:tc>
        <w:tc>
          <w:tcPr>
            <w:tcW w:w="10713" w:type="dxa"/>
            <w:tcBorders>
              <w:top w:val="single" w:color="auto" w:sz="4" w:space="0"/>
              <w:left w:val="nil"/>
              <w:bottom w:val="nil"/>
              <w:right w:val="single" w:color="auto" w:sz="4" w:space="0"/>
            </w:tcBorders>
            <w:shd w:val="clear" w:color="000000" w:fill="C00000"/>
            <w:vAlign w:val="center"/>
          </w:tcPr>
          <w:p>
            <w:r>
              <w:rPr>
                <w:rFonts w:hint="eastAsia"/>
              </w:rPr>
              <w:t>技术参数</w:t>
            </w:r>
          </w:p>
        </w:tc>
        <w:tc>
          <w:tcPr>
            <w:tcW w:w="851" w:type="dxa"/>
            <w:tcBorders>
              <w:top w:val="single" w:color="auto" w:sz="4" w:space="0"/>
              <w:left w:val="nil"/>
              <w:bottom w:val="nil"/>
              <w:right w:val="single" w:color="auto" w:sz="4" w:space="0"/>
            </w:tcBorders>
            <w:shd w:val="clear" w:color="000000" w:fill="C00000"/>
            <w:vAlign w:val="center"/>
          </w:tcPr>
          <w:p>
            <w:r>
              <w:rPr>
                <w:rFonts w:hint="eastAsia"/>
              </w:rPr>
              <w:t>单位</w:t>
            </w:r>
          </w:p>
        </w:tc>
        <w:tc>
          <w:tcPr>
            <w:tcW w:w="793" w:type="dxa"/>
            <w:tcBorders>
              <w:top w:val="nil"/>
              <w:left w:val="nil"/>
              <w:bottom w:val="nil"/>
              <w:right w:val="single" w:color="auto" w:sz="4" w:space="0"/>
            </w:tcBorders>
            <w:shd w:val="clear" w:color="000000" w:fill="C00000"/>
            <w:vAlign w:val="center"/>
          </w:tcPr>
          <w:p>
            <w:r>
              <w:rPr>
                <w:rFonts w:hint="eastAsia"/>
              </w:rPr>
              <w:t>数量</w:t>
            </w:r>
          </w:p>
        </w:tc>
      </w:tr>
      <w:tr>
        <w:tblPrEx>
          <w:tblCellMar>
            <w:top w:w="0" w:type="dxa"/>
            <w:left w:w="108" w:type="dxa"/>
            <w:bottom w:w="0" w:type="dxa"/>
            <w:right w:w="108" w:type="dxa"/>
          </w:tblCellMar>
        </w:tblPrEx>
        <w:trPr>
          <w:trHeight w:val="394" w:hRule="atLeast"/>
        </w:trPr>
        <w:tc>
          <w:tcPr>
            <w:tcW w:w="13149" w:type="dxa"/>
            <w:gridSpan w:val="3"/>
            <w:tcBorders>
              <w:top w:val="nil"/>
              <w:left w:val="single" w:color="auto" w:sz="4" w:space="0"/>
              <w:bottom w:val="single" w:color="auto" w:sz="4" w:space="0"/>
              <w:right w:val="single" w:color="auto" w:sz="4" w:space="0"/>
            </w:tcBorders>
            <w:shd w:val="clear" w:color="auto" w:fill="auto"/>
            <w:vAlign w:val="center"/>
          </w:tcPr>
          <w:p>
            <w:r>
              <w:rPr>
                <w:rFonts w:hint="eastAsia"/>
              </w:rPr>
              <w:t>一、前端设备</w:t>
            </w:r>
          </w:p>
        </w:tc>
        <w:tc>
          <w:tcPr>
            <w:tcW w:w="851" w:type="dxa"/>
            <w:tcBorders>
              <w:top w:val="nil"/>
              <w:left w:val="nil"/>
              <w:bottom w:val="single" w:color="auto" w:sz="4" w:space="0"/>
              <w:right w:val="single" w:color="auto" w:sz="4" w:space="0"/>
            </w:tcBorders>
            <w:shd w:val="clear" w:color="auto" w:fill="auto"/>
            <w:vAlign w:val="center"/>
          </w:tcPr>
          <w:p>
            <w:r>
              <w:rPr>
                <w:rFonts w:hint="eastAsia"/>
              </w:rPr>
              <w:t>　</w:t>
            </w:r>
          </w:p>
        </w:tc>
        <w:tc>
          <w:tcPr>
            <w:tcW w:w="793" w:type="dxa"/>
            <w:tcBorders>
              <w:top w:val="nil"/>
              <w:left w:val="nil"/>
              <w:bottom w:val="single" w:color="auto" w:sz="4" w:space="0"/>
              <w:right w:val="single" w:color="auto" w:sz="4" w:space="0"/>
            </w:tcBorders>
            <w:shd w:val="clear" w:color="auto" w:fill="auto"/>
            <w:vAlign w:val="center"/>
          </w:tcPr>
          <w:p>
            <w:r>
              <w:rPr>
                <w:rFonts w:hint="eastAsia"/>
              </w:rPr>
              <w:t>　</w:t>
            </w:r>
          </w:p>
        </w:tc>
      </w:tr>
      <w:tr>
        <w:tblPrEx>
          <w:tblCellMar>
            <w:top w:w="0" w:type="dxa"/>
            <w:left w:w="108" w:type="dxa"/>
            <w:bottom w:w="0" w:type="dxa"/>
            <w:right w:w="108" w:type="dxa"/>
          </w:tblCellMar>
        </w:tblPrEx>
        <w:trPr>
          <w:trHeight w:val="394" w:hRule="atLeast"/>
        </w:trPr>
        <w:tc>
          <w:tcPr>
            <w:tcW w:w="908" w:type="dxa"/>
            <w:tcBorders>
              <w:top w:val="nil"/>
              <w:left w:val="single" w:color="auto" w:sz="4" w:space="0"/>
              <w:bottom w:val="single" w:color="auto" w:sz="4" w:space="0"/>
              <w:right w:val="single" w:color="auto" w:sz="4" w:space="0"/>
            </w:tcBorders>
            <w:shd w:val="clear" w:color="auto" w:fill="auto"/>
            <w:vAlign w:val="center"/>
          </w:tcPr>
          <w:p>
            <w:r>
              <w:rPr>
                <w:rFonts w:hint="eastAsia"/>
              </w:rPr>
              <w:t>1</w:t>
            </w:r>
          </w:p>
        </w:tc>
        <w:tc>
          <w:tcPr>
            <w:tcW w:w="1528" w:type="dxa"/>
            <w:tcBorders>
              <w:top w:val="nil"/>
              <w:left w:val="nil"/>
              <w:bottom w:val="single" w:color="auto" w:sz="4" w:space="0"/>
              <w:right w:val="single" w:color="auto" w:sz="4" w:space="0"/>
            </w:tcBorders>
            <w:shd w:val="clear" w:color="auto" w:fill="auto"/>
            <w:vAlign w:val="center"/>
          </w:tcPr>
          <w:p>
            <w:r>
              <w:rPr>
                <w:rFonts w:hint="eastAsia"/>
              </w:rPr>
              <w:t>感烟探测器</w:t>
            </w:r>
          </w:p>
        </w:tc>
        <w:tc>
          <w:tcPr>
            <w:tcW w:w="10713" w:type="dxa"/>
            <w:tcBorders>
              <w:top w:val="nil"/>
              <w:left w:val="nil"/>
              <w:bottom w:val="single" w:color="auto" w:sz="4" w:space="0"/>
              <w:right w:val="single" w:color="auto" w:sz="4" w:space="0"/>
            </w:tcBorders>
            <w:shd w:val="clear" w:color="auto" w:fill="auto"/>
            <w:vAlign w:val="center"/>
          </w:tcPr>
          <w:p>
            <w:pPr>
              <w:rPr>
                <w:rFonts w:hint="eastAsia" w:eastAsia="宋体"/>
                <w:lang w:eastAsia="zh-CN"/>
              </w:rPr>
            </w:pPr>
            <w:r>
              <w:rPr>
                <w:rFonts w:hint="eastAsia"/>
              </w:rPr>
              <w:t>1、产品需符合GB 20517-2006《独立式感烟火灾探测报警器》要求，并取得国家消防电子产品质量监督检验中心出具的型式试验报告（提供国家消防电子产品质量监督检验中心出具的型式试验报告复印件并加盖制造商公章证明）</w:t>
            </w:r>
          </w:p>
          <w:p>
            <w:pPr>
              <w:rPr>
                <w:rFonts w:hint="eastAsia" w:eastAsia="宋体"/>
                <w:lang w:eastAsia="zh-CN"/>
              </w:rPr>
            </w:pPr>
            <w:r>
              <w:rPr>
                <w:rFonts w:hint="eastAsia"/>
              </w:rPr>
              <w:t>2、产品需符合GB 20517-2006《独立式感烟火灾探测报警器》要求，取得应急管理部消防产品合格评定中心出具的强制性产品认证证书。（提供应急管理部消防产品合格评定中心出具的强制性产品认证证书复印件并加盖制造商公章证明）</w:t>
            </w:r>
          </w:p>
          <w:p>
            <w:pPr>
              <w:rPr>
                <w:rFonts w:hint="eastAsia" w:eastAsia="宋体"/>
                <w:lang w:eastAsia="zh-CN"/>
              </w:rPr>
            </w:pPr>
            <w:r>
              <w:rPr>
                <w:rFonts w:hint="eastAsia"/>
              </w:rPr>
              <w:t>3、产品具有有效期内产品责任险，产品投保金额大于4000万人民币的。（提供消防产品责任险（凭证）复印件并加盖制造商公章证明）</w:t>
            </w:r>
          </w:p>
          <w:p>
            <w:pPr>
              <w:rPr>
                <w:rFonts w:hint="eastAsia" w:eastAsia="宋体"/>
                <w:lang w:eastAsia="zh-CN"/>
              </w:rPr>
            </w:pPr>
            <w:r>
              <w:rPr>
                <w:rFonts w:hint="eastAsia"/>
              </w:rPr>
              <w:t>4、报警声压：＞85dB（A计权）3m（提供国家级检验机构委托检验报告复印件并加盖制造商公章证明）</w:t>
            </w:r>
          </w:p>
          <w:p>
            <w:pPr>
              <w:rPr>
                <w:rFonts w:hint="eastAsia" w:eastAsia="宋体"/>
                <w:lang w:eastAsia="zh-CN"/>
              </w:rPr>
            </w:pPr>
            <w:r>
              <w:rPr>
                <w:rFonts w:hint="eastAsia"/>
              </w:rPr>
              <w:t>5、具备抗水汽干扰功能，能够在水汽环境中防止误报，并在水汽环境出现烟雾时能正常报警。（提供国家级检验机构委托检验报告复印件并加盖制造商公章证明）</w:t>
            </w:r>
          </w:p>
          <w:p>
            <w:pPr>
              <w:rPr>
                <w:rFonts w:hint="eastAsia" w:eastAsia="宋体"/>
                <w:lang w:eastAsia="zh-CN"/>
              </w:rPr>
            </w:pPr>
            <w:r>
              <w:rPr>
                <w:rFonts w:hint="eastAsia"/>
              </w:rPr>
              <w:t>6、在进行温度探测报警时，支持差温和定温报警功能。当环境温度达到57℃时或环境空气温度变化≥8℃/min,会发生报警。（提供国家级检验机构委托检验报告复印件并加盖制造商公章证明）</w:t>
            </w:r>
          </w:p>
          <w:p>
            <w:pPr>
              <w:rPr>
                <w:rFonts w:hint="eastAsia" w:eastAsia="宋体"/>
                <w:lang w:eastAsia="zh-CN"/>
              </w:rPr>
            </w:pPr>
            <w:r>
              <w:rPr>
                <w:rFonts w:hint="eastAsia"/>
              </w:rPr>
              <w:t>7、★二级报警功能：在平台软件上可以展示二级报警，一级：感烟报警、感温报警；二级：感温报警或烟感报警（提供国家级检验机构委托检验报告复印件并加盖制造商公章证明）</w:t>
            </w:r>
          </w:p>
          <w:p>
            <w:pPr>
              <w:rPr>
                <w:rFonts w:hint="eastAsia" w:eastAsia="宋体"/>
                <w:lang w:eastAsia="zh-CN"/>
              </w:rPr>
            </w:pPr>
            <w:r>
              <w:rPr>
                <w:rFonts w:hint="eastAsia"/>
              </w:rPr>
              <w:t>8、火灾报警：在待机状态下，当烟雾浓度达到响应阈值时，报警器将会产生报警信号。蜂鸣器呈长鸣声，指示灯红灯常亮（提供国家级检验机构委托检验报告复印件并加盖制造商公章证明）</w:t>
            </w:r>
          </w:p>
          <w:p>
            <w:pPr>
              <w:rPr>
                <w:rFonts w:hint="eastAsia" w:eastAsia="宋体"/>
                <w:lang w:eastAsia="zh-CN"/>
              </w:rPr>
            </w:pPr>
            <w:r>
              <w:rPr>
                <w:rFonts w:hint="eastAsia"/>
              </w:rPr>
              <w:t>9、低电量报警：具有电池欠电提醒功能，电量不足时，探测器发出短促的“滴”声音及发光指示，并能通过手机APP、平台接受故障信息（提供国家级检验机构委托检验报告复印件并加盖制造商公章证明）</w:t>
            </w:r>
          </w:p>
          <w:p>
            <w:pPr>
              <w:rPr>
                <w:rFonts w:hint="eastAsia" w:eastAsia="宋体"/>
                <w:lang w:eastAsia="zh-CN"/>
              </w:rPr>
            </w:pPr>
            <w:r>
              <w:rPr>
                <w:rFonts w:hint="eastAsia"/>
              </w:rPr>
              <w:t>10、消音功能：1）在设备持续报警时，通过远程命令可进行设备的现场消音；支持APP，平台软件远程消音功能 2）在报警器报警过程中，短按【自检/消音】键，可进行报警消音（消音周期为60s）。此时，蜂鸣器将停止鸣叫；指示灯红灯常亮。消音周期：在烟雾未散去的情况下，报警器60s后会再次发出声报警信号 （提供国家级检验机构委托检验报告复印件并加盖制造商公章证明）</w:t>
            </w:r>
          </w:p>
          <w:p>
            <w:pPr>
              <w:rPr>
                <w:rFonts w:hint="eastAsia" w:eastAsia="宋体"/>
                <w:lang w:eastAsia="zh-CN"/>
              </w:rPr>
            </w:pPr>
            <w:r>
              <w:rPr>
                <w:rFonts w:hint="eastAsia"/>
              </w:rPr>
              <w:t>11、自动复位：当烟雾浓度低于报警设定阈值以后自动复位</w:t>
            </w:r>
          </w:p>
          <w:p>
            <w:pPr>
              <w:rPr>
                <w:rFonts w:hint="eastAsia" w:eastAsia="宋体"/>
                <w:lang w:eastAsia="zh-CN"/>
              </w:rPr>
            </w:pPr>
            <w:r>
              <w:rPr>
                <w:rFonts w:hint="eastAsia"/>
              </w:rPr>
              <w:t>12、★信号强度查询：支持当烟感和物联网消防报警网关互通配对后，可通过烟感探测器，长按自检按键3秒，查看烟感的无线信号强弱，指示灯绿色表示信号强适宜安装；指示灯红色表示信号弱，不适合安装。（提供国家级检验机构委托检验报告复印件并加盖制造商公章证明）</w:t>
            </w:r>
          </w:p>
          <w:p>
            <w:r>
              <w:rPr>
                <w:rFonts w:hint="eastAsia"/>
              </w:rPr>
              <w:t>13、温度测量误差：在33℃-42℃范围内,测温误差均不大于0.2℃</w:t>
            </w:r>
          </w:p>
        </w:tc>
        <w:tc>
          <w:tcPr>
            <w:tcW w:w="851" w:type="dxa"/>
            <w:tcBorders>
              <w:top w:val="nil"/>
              <w:left w:val="nil"/>
              <w:bottom w:val="single" w:color="auto" w:sz="4" w:space="0"/>
              <w:right w:val="single" w:color="auto" w:sz="4" w:space="0"/>
            </w:tcBorders>
            <w:shd w:val="clear" w:color="auto" w:fill="auto"/>
            <w:vAlign w:val="center"/>
          </w:tcPr>
          <w:p>
            <w:r>
              <w:rPr>
                <w:rFonts w:hint="eastAsia"/>
              </w:rPr>
              <w:t>台</w:t>
            </w:r>
          </w:p>
        </w:tc>
        <w:tc>
          <w:tcPr>
            <w:tcW w:w="793" w:type="dxa"/>
            <w:tcBorders>
              <w:top w:val="nil"/>
              <w:left w:val="nil"/>
              <w:bottom w:val="single" w:color="auto" w:sz="4" w:space="0"/>
              <w:right w:val="single" w:color="auto" w:sz="4" w:space="0"/>
            </w:tcBorders>
            <w:shd w:val="clear" w:color="auto" w:fill="auto"/>
            <w:vAlign w:val="center"/>
          </w:tcPr>
          <w:p>
            <w:r>
              <w:rPr>
                <w:rFonts w:hint="eastAsia"/>
              </w:rPr>
              <w:t>320</w:t>
            </w:r>
          </w:p>
        </w:tc>
      </w:tr>
      <w:tr>
        <w:tblPrEx>
          <w:tblCellMar>
            <w:top w:w="0" w:type="dxa"/>
            <w:left w:w="108" w:type="dxa"/>
            <w:bottom w:w="0" w:type="dxa"/>
            <w:right w:w="108" w:type="dxa"/>
          </w:tblCellMar>
        </w:tblPrEx>
        <w:trPr>
          <w:trHeight w:val="394" w:hRule="atLeast"/>
        </w:trPr>
        <w:tc>
          <w:tcPr>
            <w:tcW w:w="908" w:type="dxa"/>
            <w:tcBorders>
              <w:top w:val="nil"/>
              <w:left w:val="single" w:color="auto" w:sz="4" w:space="0"/>
              <w:bottom w:val="single" w:color="auto" w:sz="4" w:space="0"/>
              <w:right w:val="single" w:color="auto" w:sz="4" w:space="0"/>
            </w:tcBorders>
            <w:shd w:val="clear" w:color="auto" w:fill="auto"/>
            <w:vAlign w:val="center"/>
          </w:tcPr>
          <w:p>
            <w:r>
              <w:rPr>
                <w:rFonts w:hint="eastAsia"/>
              </w:rPr>
              <w:t>2</w:t>
            </w:r>
          </w:p>
        </w:tc>
        <w:tc>
          <w:tcPr>
            <w:tcW w:w="1528" w:type="dxa"/>
            <w:tcBorders>
              <w:top w:val="nil"/>
              <w:left w:val="nil"/>
              <w:bottom w:val="single" w:color="auto" w:sz="4" w:space="0"/>
              <w:right w:val="single" w:color="auto" w:sz="4" w:space="0"/>
            </w:tcBorders>
            <w:shd w:val="clear" w:color="auto" w:fill="auto"/>
            <w:vAlign w:val="center"/>
          </w:tcPr>
          <w:p>
            <w:r>
              <w:rPr>
                <w:rFonts w:hint="eastAsia"/>
              </w:rPr>
              <w:t>声光报警器</w:t>
            </w:r>
          </w:p>
        </w:tc>
        <w:tc>
          <w:tcPr>
            <w:tcW w:w="10713" w:type="dxa"/>
            <w:tcBorders>
              <w:top w:val="nil"/>
              <w:left w:val="nil"/>
              <w:bottom w:val="single" w:color="auto" w:sz="4" w:space="0"/>
              <w:right w:val="single" w:color="auto" w:sz="4" w:space="0"/>
            </w:tcBorders>
            <w:shd w:val="clear" w:color="auto" w:fill="auto"/>
            <w:vAlign w:val="center"/>
          </w:tcPr>
          <w:p>
            <w:pPr>
              <w:rPr>
                <w:rFonts w:hint="eastAsia" w:eastAsia="宋体"/>
                <w:lang w:eastAsia="zh-CN"/>
              </w:rPr>
            </w:pPr>
            <w:r>
              <w:rPr>
                <w:rFonts w:hint="eastAsia"/>
              </w:rPr>
              <w:t xml:space="preserve">1、供电：主电DC 12V 1A </w:t>
            </w:r>
          </w:p>
          <w:p>
            <w:pPr>
              <w:rPr>
                <w:rFonts w:hint="eastAsia" w:eastAsia="宋体"/>
                <w:lang w:eastAsia="zh-CN"/>
              </w:rPr>
            </w:pPr>
            <w:r>
              <w:rPr>
                <w:rFonts w:hint="eastAsia"/>
              </w:rPr>
              <w:t>2、备电：锂电池≥ 2400mAh，DC 3V</w:t>
            </w:r>
          </w:p>
          <w:p>
            <w:pPr>
              <w:rPr>
                <w:rFonts w:hint="eastAsia" w:eastAsia="宋体"/>
                <w:lang w:eastAsia="zh-CN"/>
              </w:rPr>
            </w:pPr>
            <w:r>
              <w:rPr>
                <w:rFonts w:hint="eastAsia"/>
              </w:rPr>
              <w:t>3、电池使用寿命：待机≥5年</w:t>
            </w:r>
          </w:p>
          <w:p>
            <w:pPr>
              <w:rPr>
                <w:rFonts w:hint="eastAsia" w:eastAsia="宋体"/>
                <w:lang w:eastAsia="zh-CN"/>
              </w:rPr>
            </w:pPr>
            <w:r>
              <w:rPr>
                <w:rFonts w:hint="eastAsia"/>
              </w:rPr>
              <w:t>4、工作电流：待机状态≤5μA，报警状态≤100mA</w:t>
            </w:r>
          </w:p>
          <w:p>
            <w:pPr>
              <w:rPr>
                <w:rFonts w:hint="eastAsia" w:eastAsia="宋体"/>
                <w:lang w:eastAsia="zh-CN"/>
              </w:rPr>
            </w:pPr>
            <w:r>
              <w:rPr>
                <w:rFonts w:hint="eastAsia"/>
              </w:rPr>
              <w:t>5、通讯方式：LoRa，双向FSK</w:t>
            </w:r>
          </w:p>
          <w:p>
            <w:pPr>
              <w:rPr>
                <w:rFonts w:hint="eastAsia" w:eastAsia="宋体"/>
                <w:lang w:eastAsia="zh-CN"/>
              </w:rPr>
            </w:pPr>
            <w:r>
              <w:rPr>
                <w:rFonts w:hint="eastAsia"/>
              </w:rPr>
              <w:t>6、报警音量：≥85dB@3m（A计权）</w:t>
            </w:r>
          </w:p>
          <w:p>
            <w:pPr>
              <w:rPr>
                <w:rFonts w:hint="eastAsia" w:eastAsia="宋体"/>
                <w:lang w:eastAsia="zh-CN"/>
              </w:rPr>
            </w:pPr>
            <w:r>
              <w:rPr>
                <w:rFonts w:hint="eastAsia"/>
              </w:rPr>
              <w:t>7、报警指示灯：1个</w:t>
            </w:r>
          </w:p>
          <w:p>
            <w:pPr>
              <w:rPr>
                <w:rFonts w:hint="eastAsia" w:eastAsia="宋体"/>
                <w:lang w:eastAsia="zh-CN"/>
              </w:rPr>
            </w:pPr>
            <w:r>
              <w:rPr>
                <w:rFonts w:hint="eastAsia"/>
              </w:rPr>
              <w:t>8、闪光频率：1Hz～2Hz</w:t>
            </w:r>
          </w:p>
          <w:p>
            <w:r>
              <w:rPr>
                <w:rFonts w:hint="eastAsia"/>
              </w:rPr>
              <w:t>9、变调周期：3 s ~ 5 s</w:t>
            </w:r>
          </w:p>
        </w:tc>
        <w:tc>
          <w:tcPr>
            <w:tcW w:w="851" w:type="dxa"/>
            <w:tcBorders>
              <w:top w:val="nil"/>
              <w:left w:val="nil"/>
              <w:bottom w:val="single" w:color="auto" w:sz="4" w:space="0"/>
              <w:right w:val="single" w:color="auto" w:sz="4" w:space="0"/>
            </w:tcBorders>
            <w:shd w:val="clear" w:color="auto" w:fill="auto"/>
            <w:vAlign w:val="center"/>
          </w:tcPr>
          <w:p>
            <w:r>
              <w:rPr>
                <w:rFonts w:hint="eastAsia"/>
              </w:rPr>
              <w:t>台</w:t>
            </w:r>
          </w:p>
        </w:tc>
        <w:tc>
          <w:tcPr>
            <w:tcW w:w="793" w:type="dxa"/>
            <w:tcBorders>
              <w:top w:val="nil"/>
              <w:left w:val="nil"/>
              <w:bottom w:val="single" w:color="auto" w:sz="4" w:space="0"/>
              <w:right w:val="single" w:color="auto" w:sz="4" w:space="0"/>
            </w:tcBorders>
            <w:shd w:val="clear" w:color="auto" w:fill="auto"/>
            <w:vAlign w:val="center"/>
          </w:tcPr>
          <w:p>
            <w:r>
              <w:rPr>
                <w:rFonts w:hint="eastAsia"/>
              </w:rPr>
              <w:t>20</w:t>
            </w:r>
          </w:p>
        </w:tc>
      </w:tr>
      <w:tr>
        <w:tblPrEx>
          <w:tblCellMar>
            <w:top w:w="0" w:type="dxa"/>
            <w:left w:w="108" w:type="dxa"/>
            <w:bottom w:w="0" w:type="dxa"/>
            <w:right w:w="108" w:type="dxa"/>
          </w:tblCellMar>
        </w:tblPrEx>
        <w:trPr>
          <w:trHeight w:val="394" w:hRule="atLeast"/>
        </w:trPr>
        <w:tc>
          <w:tcPr>
            <w:tcW w:w="908" w:type="dxa"/>
            <w:tcBorders>
              <w:top w:val="nil"/>
              <w:left w:val="single" w:color="auto" w:sz="4" w:space="0"/>
              <w:bottom w:val="single" w:color="auto" w:sz="4" w:space="0"/>
              <w:right w:val="single" w:color="auto" w:sz="4" w:space="0"/>
            </w:tcBorders>
            <w:shd w:val="clear" w:color="auto" w:fill="auto"/>
            <w:vAlign w:val="center"/>
          </w:tcPr>
          <w:p>
            <w:r>
              <w:rPr>
                <w:rFonts w:hint="eastAsia"/>
              </w:rPr>
              <w:t>3</w:t>
            </w:r>
          </w:p>
        </w:tc>
        <w:tc>
          <w:tcPr>
            <w:tcW w:w="1528" w:type="dxa"/>
            <w:tcBorders>
              <w:top w:val="nil"/>
              <w:left w:val="nil"/>
              <w:bottom w:val="single" w:color="auto" w:sz="4" w:space="0"/>
              <w:right w:val="single" w:color="auto" w:sz="4" w:space="0"/>
            </w:tcBorders>
            <w:shd w:val="clear" w:color="auto" w:fill="auto"/>
            <w:vAlign w:val="center"/>
          </w:tcPr>
          <w:p>
            <w:r>
              <w:rPr>
                <w:rFonts w:hint="eastAsia"/>
              </w:rPr>
              <w:t>手动报警按钮</w:t>
            </w:r>
          </w:p>
        </w:tc>
        <w:tc>
          <w:tcPr>
            <w:tcW w:w="10713" w:type="dxa"/>
            <w:tcBorders>
              <w:top w:val="nil"/>
              <w:left w:val="nil"/>
              <w:bottom w:val="single" w:color="auto" w:sz="4" w:space="0"/>
              <w:right w:val="single" w:color="auto" w:sz="4" w:space="0"/>
            </w:tcBorders>
            <w:shd w:val="clear" w:color="auto" w:fill="auto"/>
            <w:vAlign w:val="center"/>
          </w:tcPr>
          <w:p>
            <w:pPr>
              <w:rPr>
                <w:rFonts w:hint="eastAsia" w:eastAsia="宋体"/>
                <w:lang w:eastAsia="zh-CN"/>
              </w:rPr>
            </w:pPr>
            <w:r>
              <w:rPr>
                <w:rFonts w:hint="eastAsia"/>
              </w:rPr>
              <w:t>1、电源：锂电池≥ 2400mAh，DC 3V</w:t>
            </w:r>
          </w:p>
          <w:p>
            <w:pPr>
              <w:rPr>
                <w:rFonts w:hint="eastAsia" w:eastAsia="宋体"/>
                <w:lang w:eastAsia="zh-CN"/>
              </w:rPr>
            </w:pPr>
            <w:r>
              <w:rPr>
                <w:rFonts w:hint="eastAsia"/>
              </w:rPr>
              <w:t>2、电池使用寿命：待机≥5年</w:t>
            </w:r>
          </w:p>
          <w:p>
            <w:pPr>
              <w:rPr>
                <w:rFonts w:hint="eastAsia" w:eastAsia="宋体"/>
                <w:lang w:eastAsia="zh-CN"/>
              </w:rPr>
            </w:pPr>
            <w:r>
              <w:rPr>
                <w:rFonts w:hint="eastAsia"/>
              </w:rPr>
              <w:t>3、工作电流：待机状态≤5μA</w:t>
            </w:r>
          </w:p>
          <w:p>
            <w:pPr>
              <w:rPr>
                <w:rFonts w:hint="eastAsia" w:eastAsia="宋体"/>
                <w:lang w:eastAsia="zh-CN"/>
              </w:rPr>
            </w:pPr>
            <w:r>
              <w:rPr>
                <w:rFonts w:hint="eastAsia"/>
              </w:rPr>
              <w:t>4、通讯方式：LoRa，双向FSK</w:t>
            </w:r>
          </w:p>
          <w:p>
            <w:pPr>
              <w:rPr>
                <w:rFonts w:hint="eastAsia" w:eastAsia="宋体"/>
                <w:lang w:eastAsia="zh-CN"/>
              </w:rPr>
            </w:pPr>
            <w:r>
              <w:rPr>
                <w:rFonts w:hint="eastAsia"/>
              </w:rPr>
              <w:t>5、报警指示灯：1个</w:t>
            </w:r>
          </w:p>
          <w:p>
            <w:r>
              <w:rPr>
                <w:rFonts w:hint="eastAsia"/>
              </w:rPr>
              <w:t>6、报警输出：1路，继电器容量（24VDC /1A</w:t>
            </w:r>
          </w:p>
        </w:tc>
        <w:tc>
          <w:tcPr>
            <w:tcW w:w="851" w:type="dxa"/>
            <w:tcBorders>
              <w:top w:val="nil"/>
              <w:left w:val="nil"/>
              <w:bottom w:val="single" w:color="auto" w:sz="4" w:space="0"/>
              <w:right w:val="single" w:color="auto" w:sz="4" w:space="0"/>
            </w:tcBorders>
            <w:shd w:val="clear" w:color="auto" w:fill="auto"/>
            <w:vAlign w:val="center"/>
          </w:tcPr>
          <w:p>
            <w:r>
              <w:rPr>
                <w:rFonts w:hint="eastAsia"/>
              </w:rPr>
              <w:t>台</w:t>
            </w:r>
          </w:p>
        </w:tc>
        <w:tc>
          <w:tcPr>
            <w:tcW w:w="793" w:type="dxa"/>
            <w:tcBorders>
              <w:top w:val="nil"/>
              <w:left w:val="nil"/>
              <w:bottom w:val="single" w:color="auto" w:sz="4" w:space="0"/>
              <w:right w:val="single" w:color="auto" w:sz="4" w:space="0"/>
            </w:tcBorders>
            <w:shd w:val="clear" w:color="auto" w:fill="auto"/>
            <w:vAlign w:val="center"/>
          </w:tcPr>
          <w:p>
            <w:r>
              <w:rPr>
                <w:rFonts w:hint="eastAsia"/>
              </w:rPr>
              <w:t>10</w:t>
            </w:r>
          </w:p>
        </w:tc>
      </w:tr>
      <w:tr>
        <w:tblPrEx>
          <w:tblCellMar>
            <w:top w:w="0" w:type="dxa"/>
            <w:left w:w="108" w:type="dxa"/>
            <w:bottom w:w="0" w:type="dxa"/>
            <w:right w:w="108" w:type="dxa"/>
          </w:tblCellMar>
        </w:tblPrEx>
        <w:trPr>
          <w:trHeight w:val="394" w:hRule="atLeast"/>
        </w:trPr>
        <w:tc>
          <w:tcPr>
            <w:tcW w:w="908" w:type="dxa"/>
            <w:tcBorders>
              <w:top w:val="nil"/>
              <w:left w:val="single" w:color="auto" w:sz="4" w:space="0"/>
              <w:bottom w:val="single" w:color="auto" w:sz="4" w:space="0"/>
              <w:right w:val="single" w:color="auto" w:sz="4" w:space="0"/>
            </w:tcBorders>
            <w:shd w:val="clear" w:color="auto" w:fill="auto"/>
            <w:vAlign w:val="center"/>
          </w:tcPr>
          <w:p>
            <w:r>
              <w:rPr>
                <w:rFonts w:hint="eastAsia"/>
              </w:rPr>
              <w:t>4</w:t>
            </w:r>
          </w:p>
        </w:tc>
        <w:tc>
          <w:tcPr>
            <w:tcW w:w="1528" w:type="dxa"/>
            <w:tcBorders>
              <w:top w:val="nil"/>
              <w:left w:val="nil"/>
              <w:bottom w:val="single" w:color="auto" w:sz="4" w:space="0"/>
              <w:right w:val="single" w:color="auto" w:sz="4" w:space="0"/>
            </w:tcBorders>
            <w:shd w:val="clear" w:color="auto" w:fill="auto"/>
            <w:vAlign w:val="center"/>
          </w:tcPr>
          <w:p>
            <w:r>
              <w:rPr>
                <w:rFonts w:hint="eastAsia"/>
              </w:rPr>
              <w:t>消防物联网网关</w:t>
            </w:r>
          </w:p>
        </w:tc>
        <w:tc>
          <w:tcPr>
            <w:tcW w:w="10713" w:type="dxa"/>
            <w:tcBorders>
              <w:top w:val="nil"/>
              <w:left w:val="nil"/>
              <w:bottom w:val="single" w:color="auto" w:sz="4" w:space="0"/>
              <w:right w:val="single" w:color="auto" w:sz="4" w:space="0"/>
            </w:tcBorders>
            <w:shd w:val="clear" w:color="auto" w:fill="auto"/>
            <w:vAlign w:val="center"/>
          </w:tcPr>
          <w:p>
            <w:pPr>
              <w:rPr>
                <w:rFonts w:hint="eastAsia" w:eastAsia="宋体"/>
                <w:lang w:eastAsia="zh-CN"/>
              </w:rPr>
            </w:pPr>
            <w:r>
              <w:rPr>
                <w:rFonts w:hint="eastAsia"/>
              </w:rPr>
              <w:t>1、上行通讯：以太网</w:t>
            </w:r>
          </w:p>
          <w:p>
            <w:pPr>
              <w:rPr>
                <w:rFonts w:hint="eastAsia" w:eastAsia="宋体"/>
                <w:lang w:eastAsia="zh-CN"/>
              </w:rPr>
            </w:pPr>
            <w:r>
              <w:rPr>
                <w:rFonts w:hint="eastAsia"/>
              </w:rPr>
              <w:t>2、下行通讯：LoRa</w:t>
            </w:r>
          </w:p>
          <w:p>
            <w:pPr>
              <w:rPr>
                <w:rFonts w:hint="eastAsia" w:eastAsia="宋体"/>
                <w:lang w:eastAsia="zh-CN"/>
              </w:rPr>
            </w:pPr>
            <w:r>
              <w:rPr>
                <w:rFonts w:hint="eastAsia"/>
              </w:rPr>
              <w:t>3、外设接入数量≥128个</w:t>
            </w:r>
          </w:p>
          <w:p>
            <w:pPr>
              <w:rPr>
                <w:rFonts w:hint="eastAsia" w:eastAsia="宋体"/>
                <w:lang w:eastAsia="zh-CN"/>
              </w:rPr>
            </w:pPr>
            <w:r>
              <w:rPr>
                <w:rFonts w:hint="eastAsia"/>
              </w:rPr>
              <w:t>4、支持网关上中文报警内容查看，包括安装位置、设备序列号、警情发生的时间、传感器当前的状态，事件的触发/恢复等信息。（提供国家级检验机构委托检验报告复印件并加盖制造商公章证明）</w:t>
            </w:r>
          </w:p>
          <w:p>
            <w:pPr>
              <w:rPr>
                <w:rFonts w:hint="eastAsia" w:eastAsia="宋体"/>
                <w:lang w:eastAsia="zh-CN"/>
              </w:rPr>
            </w:pPr>
            <w:r>
              <w:rPr>
                <w:rFonts w:hint="eastAsia"/>
              </w:rPr>
              <w:t>5、★网关发生主电、备电、有线网络、无线网络、通讯串口异常、防拆等异常时，都可以检测并在网关屏幕上中文的方式展示故障。前端外设烟感、手报、温感发生防拆、电池欠压等异常，声光产品的主电、备电异常，燃气、烟感、温感传感器异常，前端设备的离线时，产生故障告警。（提供国家级检验机构委托检验报告复印件并加盖制造商公章证明）</w:t>
            </w:r>
          </w:p>
          <w:p>
            <w:pPr>
              <w:rPr>
                <w:rFonts w:hint="eastAsia" w:eastAsia="宋体"/>
                <w:lang w:eastAsia="zh-CN"/>
              </w:rPr>
            </w:pPr>
            <w:r>
              <w:rPr>
                <w:rFonts w:hint="eastAsia"/>
              </w:rPr>
              <w:t>6、具有网关互联报警功能；当一个网关接收到报警时，可以将警情联动到其他的网关，并通知报警联动。（提供国家级检验机构委托检验报告复印件并加盖制造商公章证明）</w:t>
            </w:r>
          </w:p>
          <w:p>
            <w:r>
              <w:rPr>
                <w:rFonts w:hint="eastAsia"/>
              </w:rPr>
              <w:t>7、★设备具有防误报功能（默认关闭），当关闭该功能时：触发单个火灾探测器，会联动声光。 当开启该功能时：需要触发两个探测器报警，才能互联报警（手动报警不受限制，触发就可以联动报警）。（提供国家级检验机构委托检验报告复印件并加盖制造商公章证明）</w:t>
            </w:r>
          </w:p>
        </w:tc>
        <w:tc>
          <w:tcPr>
            <w:tcW w:w="851" w:type="dxa"/>
            <w:tcBorders>
              <w:top w:val="nil"/>
              <w:left w:val="nil"/>
              <w:bottom w:val="single" w:color="auto" w:sz="4" w:space="0"/>
              <w:right w:val="single" w:color="auto" w:sz="4" w:space="0"/>
            </w:tcBorders>
            <w:shd w:val="clear" w:color="auto" w:fill="auto"/>
            <w:vAlign w:val="center"/>
          </w:tcPr>
          <w:p>
            <w:r>
              <w:rPr>
                <w:rFonts w:hint="eastAsia"/>
              </w:rPr>
              <w:t>台</w:t>
            </w:r>
          </w:p>
        </w:tc>
        <w:tc>
          <w:tcPr>
            <w:tcW w:w="793" w:type="dxa"/>
            <w:tcBorders>
              <w:top w:val="nil"/>
              <w:left w:val="nil"/>
              <w:bottom w:val="single" w:color="auto" w:sz="4" w:space="0"/>
              <w:right w:val="single" w:color="auto" w:sz="4" w:space="0"/>
            </w:tcBorders>
            <w:shd w:val="clear" w:color="auto" w:fill="auto"/>
            <w:vAlign w:val="center"/>
          </w:tcPr>
          <w:p>
            <w:r>
              <w:rPr>
                <w:rFonts w:hint="eastAsia"/>
              </w:rPr>
              <w:t>20</w:t>
            </w:r>
          </w:p>
        </w:tc>
      </w:tr>
      <w:tr>
        <w:tblPrEx>
          <w:tblCellMar>
            <w:top w:w="0" w:type="dxa"/>
            <w:left w:w="108" w:type="dxa"/>
            <w:bottom w:w="0" w:type="dxa"/>
            <w:right w:w="108" w:type="dxa"/>
          </w:tblCellMar>
        </w:tblPrEx>
        <w:trPr>
          <w:trHeight w:val="394" w:hRule="atLeast"/>
        </w:trPr>
        <w:tc>
          <w:tcPr>
            <w:tcW w:w="908" w:type="dxa"/>
            <w:tcBorders>
              <w:top w:val="nil"/>
              <w:left w:val="single" w:color="auto" w:sz="4" w:space="0"/>
              <w:bottom w:val="single" w:color="auto" w:sz="4" w:space="0"/>
              <w:right w:val="single" w:color="auto" w:sz="4" w:space="0"/>
            </w:tcBorders>
            <w:shd w:val="clear" w:color="auto" w:fill="auto"/>
            <w:vAlign w:val="center"/>
          </w:tcPr>
          <w:p>
            <w:r>
              <w:rPr>
                <w:rFonts w:hint="eastAsia"/>
              </w:rPr>
              <w:t>5</w:t>
            </w:r>
          </w:p>
        </w:tc>
        <w:tc>
          <w:tcPr>
            <w:tcW w:w="1528" w:type="dxa"/>
            <w:tcBorders>
              <w:top w:val="nil"/>
              <w:left w:val="nil"/>
              <w:bottom w:val="single" w:color="auto" w:sz="4" w:space="0"/>
              <w:right w:val="single" w:color="auto" w:sz="4" w:space="0"/>
            </w:tcBorders>
            <w:shd w:val="clear" w:color="auto" w:fill="auto"/>
            <w:vAlign w:val="center"/>
          </w:tcPr>
          <w:p>
            <w:r>
              <w:rPr>
                <w:rFonts w:hint="eastAsia"/>
              </w:rPr>
              <w:t>光纤收发器</w:t>
            </w:r>
          </w:p>
        </w:tc>
        <w:tc>
          <w:tcPr>
            <w:tcW w:w="10713" w:type="dxa"/>
            <w:tcBorders>
              <w:top w:val="nil"/>
              <w:left w:val="nil"/>
              <w:bottom w:val="single" w:color="auto" w:sz="4" w:space="0"/>
              <w:right w:val="single" w:color="auto" w:sz="4" w:space="0"/>
            </w:tcBorders>
            <w:shd w:val="clear" w:color="auto" w:fill="auto"/>
            <w:vAlign w:val="center"/>
          </w:tcPr>
          <w:p>
            <w:pPr>
              <w:rPr>
                <w:rFonts w:hint="eastAsia" w:eastAsia="宋体"/>
                <w:lang w:eastAsia="zh-CN"/>
              </w:rPr>
            </w:pPr>
            <w:r>
              <w:rPr>
                <w:rFonts w:hint="eastAsia"/>
              </w:rPr>
              <w:t>1、4口千兆光纤收发器工业导轨式发送机</w:t>
            </w:r>
          </w:p>
          <w:p>
            <w:pPr>
              <w:rPr>
                <w:rFonts w:hint="eastAsia" w:eastAsia="宋体"/>
                <w:lang w:eastAsia="zh-CN"/>
              </w:rPr>
            </w:pPr>
            <w:r>
              <w:rPr>
                <w:rFonts w:hint="eastAsia"/>
              </w:rPr>
              <w:t>2、光口：1个千兆光口</w:t>
            </w:r>
          </w:p>
          <w:p>
            <w:pPr>
              <w:rPr>
                <w:rFonts w:hint="eastAsia" w:eastAsia="宋体"/>
                <w:lang w:eastAsia="zh-CN"/>
              </w:rPr>
            </w:pPr>
            <w:r>
              <w:rPr>
                <w:rFonts w:hint="eastAsia"/>
              </w:rPr>
              <w:t>3、距离20公里</w:t>
            </w:r>
          </w:p>
          <w:p>
            <w:pPr>
              <w:rPr>
                <w:rFonts w:hint="eastAsia" w:eastAsia="宋体"/>
                <w:lang w:eastAsia="zh-CN"/>
              </w:rPr>
            </w:pPr>
            <w:r>
              <w:rPr>
                <w:rFonts w:hint="eastAsia"/>
              </w:rPr>
              <w:t>4、SC口</w:t>
            </w:r>
          </w:p>
          <w:p>
            <w:pPr>
              <w:rPr>
                <w:rFonts w:hint="eastAsia" w:eastAsia="宋体"/>
                <w:lang w:eastAsia="zh-CN"/>
              </w:rPr>
            </w:pPr>
            <w:r>
              <w:rPr>
                <w:rFonts w:hint="eastAsia"/>
              </w:rPr>
              <w:t>5、单模单纤；电口：1个千兆网口</w:t>
            </w:r>
          </w:p>
          <w:p>
            <w:r>
              <w:rPr>
                <w:rFonts w:hint="eastAsia"/>
              </w:rPr>
              <w:t>6、3个百兆电口；安装方式：工业导轨式；</w:t>
            </w:r>
          </w:p>
        </w:tc>
        <w:tc>
          <w:tcPr>
            <w:tcW w:w="851" w:type="dxa"/>
            <w:tcBorders>
              <w:top w:val="nil"/>
              <w:left w:val="nil"/>
              <w:bottom w:val="single" w:color="auto" w:sz="4" w:space="0"/>
              <w:right w:val="single" w:color="auto" w:sz="4" w:space="0"/>
            </w:tcBorders>
            <w:shd w:val="clear" w:color="auto" w:fill="auto"/>
            <w:vAlign w:val="center"/>
          </w:tcPr>
          <w:p>
            <w:r>
              <w:rPr>
                <w:rFonts w:hint="eastAsia"/>
              </w:rPr>
              <w:t>台</w:t>
            </w:r>
          </w:p>
        </w:tc>
        <w:tc>
          <w:tcPr>
            <w:tcW w:w="793" w:type="dxa"/>
            <w:tcBorders>
              <w:top w:val="nil"/>
              <w:left w:val="nil"/>
              <w:bottom w:val="single" w:color="auto" w:sz="4" w:space="0"/>
              <w:right w:val="single" w:color="auto" w:sz="4" w:space="0"/>
            </w:tcBorders>
            <w:shd w:val="clear" w:color="auto" w:fill="auto"/>
            <w:vAlign w:val="center"/>
          </w:tcPr>
          <w:p>
            <w:r>
              <w:rPr>
                <w:rFonts w:hint="eastAsia"/>
              </w:rPr>
              <w:t>20</w:t>
            </w:r>
          </w:p>
        </w:tc>
      </w:tr>
      <w:tr>
        <w:tblPrEx>
          <w:tblCellMar>
            <w:top w:w="0" w:type="dxa"/>
            <w:left w:w="108" w:type="dxa"/>
            <w:bottom w:w="0" w:type="dxa"/>
            <w:right w:w="108" w:type="dxa"/>
          </w:tblCellMar>
        </w:tblPrEx>
        <w:trPr>
          <w:trHeight w:val="394" w:hRule="atLeast"/>
        </w:trPr>
        <w:tc>
          <w:tcPr>
            <w:tcW w:w="908" w:type="dxa"/>
            <w:tcBorders>
              <w:top w:val="nil"/>
              <w:left w:val="single" w:color="auto" w:sz="4" w:space="0"/>
              <w:bottom w:val="single" w:color="auto" w:sz="4" w:space="0"/>
              <w:right w:val="single" w:color="auto" w:sz="4" w:space="0"/>
            </w:tcBorders>
            <w:shd w:val="clear" w:color="auto" w:fill="auto"/>
            <w:vAlign w:val="center"/>
          </w:tcPr>
          <w:p>
            <w:r>
              <w:rPr>
                <w:rFonts w:hint="eastAsia"/>
              </w:rPr>
              <w:t>6</w:t>
            </w:r>
          </w:p>
        </w:tc>
        <w:tc>
          <w:tcPr>
            <w:tcW w:w="1528" w:type="dxa"/>
            <w:tcBorders>
              <w:top w:val="nil"/>
              <w:left w:val="nil"/>
              <w:bottom w:val="single" w:color="auto" w:sz="4" w:space="0"/>
              <w:right w:val="single" w:color="auto" w:sz="4" w:space="0"/>
            </w:tcBorders>
            <w:shd w:val="clear" w:color="auto" w:fill="auto"/>
            <w:vAlign w:val="center"/>
          </w:tcPr>
          <w:p>
            <w:r>
              <w:rPr>
                <w:rFonts w:hint="eastAsia"/>
              </w:rPr>
              <w:t>机柜PDU插座</w:t>
            </w:r>
          </w:p>
        </w:tc>
        <w:tc>
          <w:tcPr>
            <w:tcW w:w="10713" w:type="dxa"/>
            <w:tcBorders>
              <w:top w:val="nil"/>
              <w:left w:val="nil"/>
              <w:bottom w:val="single" w:color="auto" w:sz="4" w:space="0"/>
              <w:right w:val="single" w:color="auto" w:sz="4" w:space="0"/>
            </w:tcBorders>
            <w:shd w:val="clear" w:color="auto" w:fill="auto"/>
            <w:vAlign w:val="center"/>
          </w:tcPr>
          <w:p>
            <w:r>
              <w:rPr>
                <w:rFonts w:hint="eastAsia"/>
              </w:rPr>
              <w:t>1、配置：10A二三孔插座≥3位；</w:t>
            </w:r>
          </w:p>
        </w:tc>
        <w:tc>
          <w:tcPr>
            <w:tcW w:w="851" w:type="dxa"/>
            <w:tcBorders>
              <w:top w:val="nil"/>
              <w:left w:val="nil"/>
              <w:bottom w:val="single" w:color="auto" w:sz="4" w:space="0"/>
              <w:right w:val="single" w:color="auto" w:sz="4" w:space="0"/>
            </w:tcBorders>
            <w:shd w:val="clear" w:color="auto" w:fill="auto"/>
            <w:vAlign w:val="center"/>
          </w:tcPr>
          <w:p>
            <w:r>
              <w:rPr>
                <w:rFonts w:hint="eastAsia"/>
              </w:rPr>
              <w:t>个</w:t>
            </w:r>
          </w:p>
        </w:tc>
        <w:tc>
          <w:tcPr>
            <w:tcW w:w="793" w:type="dxa"/>
            <w:tcBorders>
              <w:top w:val="nil"/>
              <w:left w:val="nil"/>
              <w:bottom w:val="single" w:color="auto" w:sz="4" w:space="0"/>
              <w:right w:val="single" w:color="auto" w:sz="4" w:space="0"/>
            </w:tcBorders>
            <w:shd w:val="clear" w:color="auto" w:fill="auto"/>
            <w:vAlign w:val="center"/>
          </w:tcPr>
          <w:p>
            <w:r>
              <w:rPr>
                <w:rFonts w:hint="eastAsia"/>
              </w:rPr>
              <w:t>9</w:t>
            </w:r>
          </w:p>
        </w:tc>
      </w:tr>
      <w:tr>
        <w:tblPrEx>
          <w:tblCellMar>
            <w:top w:w="0" w:type="dxa"/>
            <w:left w:w="108" w:type="dxa"/>
            <w:bottom w:w="0" w:type="dxa"/>
            <w:right w:w="108" w:type="dxa"/>
          </w:tblCellMar>
        </w:tblPrEx>
        <w:trPr>
          <w:trHeight w:val="394" w:hRule="atLeast"/>
        </w:trPr>
        <w:tc>
          <w:tcPr>
            <w:tcW w:w="908" w:type="dxa"/>
            <w:tcBorders>
              <w:top w:val="nil"/>
              <w:left w:val="single" w:color="auto" w:sz="4" w:space="0"/>
              <w:bottom w:val="single" w:color="auto" w:sz="4" w:space="0"/>
              <w:right w:val="single" w:color="auto" w:sz="4" w:space="0"/>
            </w:tcBorders>
            <w:shd w:val="clear" w:color="auto" w:fill="auto"/>
            <w:vAlign w:val="center"/>
          </w:tcPr>
          <w:p>
            <w:r>
              <w:rPr>
                <w:rFonts w:hint="eastAsia"/>
              </w:rPr>
              <w:t>7</w:t>
            </w:r>
          </w:p>
        </w:tc>
        <w:tc>
          <w:tcPr>
            <w:tcW w:w="1528" w:type="dxa"/>
            <w:tcBorders>
              <w:top w:val="nil"/>
              <w:left w:val="nil"/>
              <w:bottom w:val="single" w:color="auto" w:sz="4" w:space="0"/>
              <w:right w:val="single" w:color="auto" w:sz="4" w:space="0"/>
            </w:tcBorders>
            <w:shd w:val="clear" w:color="auto" w:fill="auto"/>
            <w:vAlign w:val="center"/>
          </w:tcPr>
          <w:p>
            <w:r>
              <w:rPr>
                <w:rFonts w:hint="eastAsia"/>
              </w:rPr>
              <w:t>网络电源模块</w:t>
            </w:r>
          </w:p>
        </w:tc>
        <w:tc>
          <w:tcPr>
            <w:tcW w:w="10713" w:type="dxa"/>
            <w:tcBorders>
              <w:top w:val="nil"/>
              <w:left w:val="nil"/>
              <w:bottom w:val="single" w:color="auto" w:sz="4" w:space="0"/>
              <w:right w:val="single" w:color="auto" w:sz="4" w:space="0"/>
            </w:tcBorders>
            <w:shd w:val="clear" w:color="auto" w:fill="auto"/>
            <w:vAlign w:val="center"/>
          </w:tcPr>
          <w:p>
            <w:pPr>
              <w:rPr>
                <w:rFonts w:hint="eastAsia" w:eastAsia="宋体"/>
                <w:lang w:eastAsia="zh-CN"/>
              </w:rPr>
            </w:pPr>
            <w:r>
              <w:rPr>
                <w:rFonts w:hint="eastAsia"/>
              </w:rPr>
              <w:t>1、输出：DC12V-5A（60W）</w:t>
            </w:r>
          </w:p>
          <w:p>
            <w:r>
              <w:rPr>
                <w:rFonts w:hint="eastAsia"/>
              </w:rPr>
              <w:t>2、输入：220VAC</w:t>
            </w:r>
          </w:p>
        </w:tc>
        <w:tc>
          <w:tcPr>
            <w:tcW w:w="851" w:type="dxa"/>
            <w:tcBorders>
              <w:top w:val="nil"/>
              <w:left w:val="nil"/>
              <w:bottom w:val="single" w:color="auto" w:sz="4" w:space="0"/>
              <w:right w:val="single" w:color="auto" w:sz="4" w:space="0"/>
            </w:tcBorders>
            <w:shd w:val="clear" w:color="auto" w:fill="auto"/>
            <w:vAlign w:val="center"/>
          </w:tcPr>
          <w:p>
            <w:r>
              <w:rPr>
                <w:rFonts w:hint="eastAsia"/>
              </w:rPr>
              <w:t>个</w:t>
            </w:r>
          </w:p>
        </w:tc>
        <w:tc>
          <w:tcPr>
            <w:tcW w:w="793" w:type="dxa"/>
            <w:tcBorders>
              <w:top w:val="nil"/>
              <w:left w:val="nil"/>
              <w:bottom w:val="single" w:color="auto" w:sz="4" w:space="0"/>
              <w:right w:val="single" w:color="auto" w:sz="4" w:space="0"/>
            </w:tcBorders>
            <w:shd w:val="clear" w:color="auto" w:fill="auto"/>
            <w:vAlign w:val="center"/>
          </w:tcPr>
          <w:p>
            <w:r>
              <w:rPr>
                <w:rFonts w:hint="eastAsia"/>
              </w:rPr>
              <w:t>9</w:t>
            </w:r>
          </w:p>
        </w:tc>
      </w:tr>
      <w:tr>
        <w:tblPrEx>
          <w:tblCellMar>
            <w:top w:w="0" w:type="dxa"/>
            <w:left w:w="108" w:type="dxa"/>
            <w:bottom w:w="0" w:type="dxa"/>
            <w:right w:w="108" w:type="dxa"/>
          </w:tblCellMar>
        </w:tblPrEx>
        <w:trPr>
          <w:trHeight w:val="394" w:hRule="atLeast"/>
        </w:trPr>
        <w:tc>
          <w:tcPr>
            <w:tcW w:w="2436" w:type="dxa"/>
            <w:gridSpan w:val="2"/>
            <w:tcBorders>
              <w:top w:val="nil"/>
              <w:left w:val="single" w:color="auto" w:sz="4" w:space="0"/>
              <w:bottom w:val="single" w:color="auto" w:sz="4" w:space="0"/>
              <w:right w:val="single" w:color="auto" w:sz="4" w:space="0"/>
            </w:tcBorders>
            <w:shd w:val="clear" w:color="auto" w:fill="auto"/>
            <w:vAlign w:val="center"/>
          </w:tcPr>
          <w:p>
            <w:r>
              <w:rPr>
                <w:rFonts w:hint="eastAsia"/>
              </w:rPr>
              <w:t>二、后端设备</w:t>
            </w:r>
          </w:p>
        </w:tc>
        <w:tc>
          <w:tcPr>
            <w:tcW w:w="10713" w:type="dxa"/>
            <w:tcBorders>
              <w:top w:val="nil"/>
              <w:left w:val="nil"/>
              <w:bottom w:val="single" w:color="auto" w:sz="4" w:space="0"/>
              <w:right w:val="single" w:color="auto" w:sz="4" w:space="0"/>
            </w:tcBorders>
            <w:shd w:val="clear" w:color="auto" w:fill="auto"/>
            <w:vAlign w:val="center"/>
          </w:tcPr>
          <w:p>
            <w:r>
              <w:rPr>
                <w:rFonts w:hint="eastAsia"/>
              </w:rPr>
              <w:t>　</w:t>
            </w:r>
          </w:p>
        </w:tc>
        <w:tc>
          <w:tcPr>
            <w:tcW w:w="851" w:type="dxa"/>
            <w:tcBorders>
              <w:top w:val="nil"/>
              <w:left w:val="nil"/>
              <w:bottom w:val="single" w:color="auto" w:sz="4" w:space="0"/>
              <w:right w:val="single" w:color="auto" w:sz="4" w:space="0"/>
            </w:tcBorders>
            <w:shd w:val="clear" w:color="auto" w:fill="auto"/>
            <w:vAlign w:val="center"/>
          </w:tcPr>
          <w:p>
            <w:r>
              <w:rPr>
                <w:rFonts w:hint="eastAsia"/>
              </w:rPr>
              <w:t>　</w:t>
            </w:r>
          </w:p>
        </w:tc>
        <w:tc>
          <w:tcPr>
            <w:tcW w:w="793" w:type="dxa"/>
            <w:tcBorders>
              <w:top w:val="nil"/>
              <w:left w:val="nil"/>
              <w:bottom w:val="single" w:color="auto" w:sz="4" w:space="0"/>
              <w:right w:val="single" w:color="auto" w:sz="4" w:space="0"/>
            </w:tcBorders>
            <w:shd w:val="clear" w:color="auto" w:fill="auto"/>
            <w:vAlign w:val="center"/>
          </w:tcPr>
          <w:p>
            <w:r>
              <w:rPr>
                <w:rFonts w:hint="eastAsia"/>
              </w:rPr>
              <w:t>　</w:t>
            </w:r>
          </w:p>
        </w:tc>
      </w:tr>
      <w:tr>
        <w:tblPrEx>
          <w:tblCellMar>
            <w:top w:w="0" w:type="dxa"/>
            <w:left w:w="108" w:type="dxa"/>
            <w:bottom w:w="0" w:type="dxa"/>
            <w:right w:w="108" w:type="dxa"/>
          </w:tblCellMar>
        </w:tblPrEx>
        <w:trPr>
          <w:trHeight w:val="394" w:hRule="atLeast"/>
        </w:trPr>
        <w:tc>
          <w:tcPr>
            <w:tcW w:w="908" w:type="dxa"/>
            <w:tcBorders>
              <w:top w:val="nil"/>
              <w:left w:val="single" w:color="auto" w:sz="4" w:space="0"/>
              <w:bottom w:val="single" w:color="auto" w:sz="4" w:space="0"/>
              <w:right w:val="single" w:color="auto" w:sz="4" w:space="0"/>
            </w:tcBorders>
            <w:shd w:val="clear" w:color="auto" w:fill="auto"/>
            <w:vAlign w:val="center"/>
          </w:tcPr>
          <w:p>
            <w:r>
              <w:rPr>
                <w:rFonts w:hint="eastAsia"/>
              </w:rPr>
              <w:t>8</w:t>
            </w:r>
          </w:p>
        </w:tc>
        <w:tc>
          <w:tcPr>
            <w:tcW w:w="1528" w:type="dxa"/>
            <w:tcBorders>
              <w:top w:val="nil"/>
              <w:left w:val="nil"/>
              <w:bottom w:val="single" w:color="auto" w:sz="4" w:space="0"/>
              <w:right w:val="single" w:color="auto" w:sz="4" w:space="0"/>
            </w:tcBorders>
            <w:shd w:val="clear" w:color="auto" w:fill="auto"/>
            <w:vAlign w:val="center"/>
          </w:tcPr>
          <w:p>
            <w:r>
              <w:rPr>
                <w:rFonts w:hint="eastAsia"/>
              </w:rPr>
              <w:t>综合安防管理平台模块</w:t>
            </w:r>
          </w:p>
        </w:tc>
        <w:tc>
          <w:tcPr>
            <w:tcW w:w="10713" w:type="dxa"/>
            <w:tcBorders>
              <w:top w:val="nil"/>
              <w:left w:val="nil"/>
              <w:bottom w:val="single" w:color="auto" w:sz="4" w:space="0"/>
              <w:right w:val="single" w:color="auto" w:sz="4" w:space="0"/>
            </w:tcBorders>
            <w:shd w:val="clear" w:color="auto" w:fill="auto"/>
            <w:vAlign w:val="center"/>
          </w:tcPr>
          <w:p>
            <w:r>
              <w:rPr>
                <w:rFonts w:hint="eastAsia"/>
              </w:rPr>
              <w:t>★满足与广东科学中心现用管理平台相互兼容，并能够接入和管理本项目所投的感烟探测器、消防网关等设备，投标人需做出相应承诺并加盖投标人公章。</w:t>
            </w:r>
          </w:p>
        </w:tc>
        <w:tc>
          <w:tcPr>
            <w:tcW w:w="851" w:type="dxa"/>
            <w:tcBorders>
              <w:top w:val="nil"/>
              <w:left w:val="nil"/>
              <w:bottom w:val="single" w:color="auto" w:sz="4" w:space="0"/>
              <w:right w:val="single" w:color="auto" w:sz="4" w:space="0"/>
            </w:tcBorders>
            <w:shd w:val="clear" w:color="auto" w:fill="auto"/>
            <w:vAlign w:val="center"/>
          </w:tcPr>
          <w:p>
            <w:r>
              <w:rPr>
                <w:rFonts w:hint="eastAsia"/>
              </w:rPr>
              <w:t>套</w:t>
            </w:r>
          </w:p>
        </w:tc>
        <w:tc>
          <w:tcPr>
            <w:tcW w:w="793" w:type="dxa"/>
            <w:tcBorders>
              <w:top w:val="nil"/>
              <w:left w:val="nil"/>
              <w:bottom w:val="single" w:color="auto" w:sz="4" w:space="0"/>
              <w:right w:val="single" w:color="auto" w:sz="4" w:space="0"/>
            </w:tcBorders>
            <w:shd w:val="clear" w:color="auto" w:fill="auto"/>
            <w:vAlign w:val="center"/>
          </w:tcPr>
          <w:p>
            <w:r>
              <w:rPr>
                <w:rFonts w:hint="eastAsia"/>
              </w:rPr>
              <w:t>1</w:t>
            </w:r>
          </w:p>
        </w:tc>
      </w:tr>
      <w:tr>
        <w:tblPrEx>
          <w:tblCellMar>
            <w:top w:w="0" w:type="dxa"/>
            <w:left w:w="108" w:type="dxa"/>
            <w:bottom w:w="0" w:type="dxa"/>
            <w:right w:w="108" w:type="dxa"/>
          </w:tblCellMar>
        </w:tblPrEx>
        <w:trPr>
          <w:trHeight w:val="394" w:hRule="atLeast"/>
        </w:trPr>
        <w:tc>
          <w:tcPr>
            <w:tcW w:w="908" w:type="dxa"/>
            <w:tcBorders>
              <w:top w:val="nil"/>
              <w:left w:val="single" w:color="auto" w:sz="4" w:space="0"/>
              <w:bottom w:val="single" w:color="auto" w:sz="4" w:space="0"/>
              <w:right w:val="single" w:color="auto" w:sz="4" w:space="0"/>
            </w:tcBorders>
            <w:shd w:val="clear" w:color="auto" w:fill="auto"/>
            <w:vAlign w:val="center"/>
          </w:tcPr>
          <w:p>
            <w:r>
              <w:rPr>
                <w:rFonts w:hint="eastAsia"/>
              </w:rPr>
              <w:t>9</w:t>
            </w:r>
          </w:p>
        </w:tc>
        <w:tc>
          <w:tcPr>
            <w:tcW w:w="1528" w:type="dxa"/>
            <w:tcBorders>
              <w:top w:val="nil"/>
              <w:left w:val="nil"/>
              <w:bottom w:val="single" w:color="auto" w:sz="4" w:space="0"/>
              <w:right w:val="single" w:color="auto" w:sz="4" w:space="0"/>
            </w:tcBorders>
            <w:shd w:val="clear" w:color="auto" w:fill="auto"/>
            <w:vAlign w:val="center"/>
          </w:tcPr>
          <w:p>
            <w:r>
              <w:rPr>
                <w:rFonts w:hint="eastAsia"/>
              </w:rPr>
              <w:t>服务器调测</w:t>
            </w:r>
          </w:p>
        </w:tc>
        <w:tc>
          <w:tcPr>
            <w:tcW w:w="10713" w:type="dxa"/>
            <w:tcBorders>
              <w:top w:val="nil"/>
              <w:left w:val="nil"/>
              <w:bottom w:val="single" w:color="auto" w:sz="4" w:space="0"/>
              <w:right w:val="single" w:color="auto" w:sz="4" w:space="0"/>
            </w:tcBorders>
            <w:shd w:val="clear" w:color="auto" w:fill="auto"/>
            <w:vAlign w:val="center"/>
          </w:tcPr>
          <w:p>
            <w:r>
              <w:rPr>
                <w:rFonts w:hint="eastAsia"/>
              </w:rPr>
              <w:t>利用并优化调试监控中心现用1台服务器进行调测</w:t>
            </w:r>
          </w:p>
        </w:tc>
        <w:tc>
          <w:tcPr>
            <w:tcW w:w="851" w:type="dxa"/>
            <w:tcBorders>
              <w:top w:val="nil"/>
              <w:left w:val="nil"/>
              <w:bottom w:val="single" w:color="auto" w:sz="4" w:space="0"/>
              <w:right w:val="single" w:color="auto" w:sz="4" w:space="0"/>
            </w:tcBorders>
            <w:shd w:val="clear" w:color="auto" w:fill="auto"/>
            <w:vAlign w:val="center"/>
          </w:tcPr>
          <w:p>
            <w:r>
              <w:rPr>
                <w:rFonts w:hint="eastAsia"/>
              </w:rPr>
              <w:t>项</w:t>
            </w:r>
          </w:p>
        </w:tc>
        <w:tc>
          <w:tcPr>
            <w:tcW w:w="793" w:type="dxa"/>
            <w:tcBorders>
              <w:top w:val="nil"/>
              <w:left w:val="nil"/>
              <w:bottom w:val="single" w:color="auto" w:sz="4" w:space="0"/>
              <w:right w:val="single" w:color="auto" w:sz="4" w:space="0"/>
            </w:tcBorders>
            <w:shd w:val="clear" w:color="auto" w:fill="auto"/>
            <w:vAlign w:val="center"/>
          </w:tcPr>
          <w:p>
            <w:r>
              <w:rPr>
                <w:rFonts w:hint="eastAsia"/>
              </w:rPr>
              <w:t>1</w:t>
            </w:r>
          </w:p>
        </w:tc>
      </w:tr>
      <w:tr>
        <w:tblPrEx>
          <w:tblCellMar>
            <w:top w:w="0" w:type="dxa"/>
            <w:left w:w="108" w:type="dxa"/>
            <w:bottom w:w="0" w:type="dxa"/>
            <w:right w:w="108" w:type="dxa"/>
          </w:tblCellMar>
        </w:tblPrEx>
        <w:trPr>
          <w:trHeight w:val="394" w:hRule="atLeast"/>
        </w:trPr>
        <w:tc>
          <w:tcPr>
            <w:tcW w:w="908" w:type="dxa"/>
            <w:tcBorders>
              <w:top w:val="nil"/>
              <w:left w:val="single" w:color="auto" w:sz="4" w:space="0"/>
              <w:bottom w:val="single" w:color="auto" w:sz="4" w:space="0"/>
              <w:right w:val="single" w:color="auto" w:sz="4" w:space="0"/>
            </w:tcBorders>
            <w:shd w:val="clear" w:color="auto" w:fill="auto"/>
            <w:vAlign w:val="center"/>
          </w:tcPr>
          <w:p>
            <w:r>
              <w:rPr>
                <w:rFonts w:hint="eastAsia"/>
              </w:rPr>
              <w:t>10</w:t>
            </w:r>
          </w:p>
        </w:tc>
        <w:tc>
          <w:tcPr>
            <w:tcW w:w="1528" w:type="dxa"/>
            <w:tcBorders>
              <w:top w:val="nil"/>
              <w:left w:val="nil"/>
              <w:bottom w:val="single" w:color="auto" w:sz="4" w:space="0"/>
              <w:right w:val="single" w:color="auto" w:sz="4" w:space="0"/>
            </w:tcBorders>
            <w:shd w:val="clear" w:color="auto" w:fill="auto"/>
            <w:vAlign w:val="center"/>
          </w:tcPr>
          <w:p>
            <w:r>
              <w:rPr>
                <w:rFonts w:hint="eastAsia"/>
              </w:rPr>
              <w:t>光模块（单模）</w:t>
            </w:r>
          </w:p>
        </w:tc>
        <w:tc>
          <w:tcPr>
            <w:tcW w:w="10713" w:type="dxa"/>
            <w:tcBorders>
              <w:top w:val="nil"/>
              <w:left w:val="nil"/>
              <w:bottom w:val="single" w:color="auto" w:sz="4" w:space="0"/>
              <w:right w:val="single" w:color="auto" w:sz="4" w:space="0"/>
            </w:tcBorders>
            <w:shd w:val="clear" w:color="auto" w:fill="auto"/>
            <w:vAlign w:val="center"/>
          </w:tcPr>
          <w:p>
            <w:r>
              <w:rPr>
                <w:rFonts w:hint="eastAsia"/>
              </w:rPr>
              <w:t>千兆20公里单模</w:t>
            </w:r>
          </w:p>
        </w:tc>
        <w:tc>
          <w:tcPr>
            <w:tcW w:w="851" w:type="dxa"/>
            <w:tcBorders>
              <w:top w:val="nil"/>
              <w:left w:val="nil"/>
              <w:bottom w:val="single" w:color="auto" w:sz="4" w:space="0"/>
              <w:right w:val="single" w:color="auto" w:sz="4" w:space="0"/>
            </w:tcBorders>
            <w:shd w:val="clear" w:color="auto" w:fill="auto"/>
            <w:vAlign w:val="center"/>
          </w:tcPr>
          <w:p>
            <w:r>
              <w:rPr>
                <w:rFonts w:hint="eastAsia"/>
              </w:rPr>
              <w:t>个</w:t>
            </w:r>
          </w:p>
        </w:tc>
        <w:tc>
          <w:tcPr>
            <w:tcW w:w="793" w:type="dxa"/>
            <w:tcBorders>
              <w:top w:val="nil"/>
              <w:left w:val="nil"/>
              <w:bottom w:val="single" w:color="auto" w:sz="4" w:space="0"/>
              <w:right w:val="single" w:color="auto" w:sz="4" w:space="0"/>
            </w:tcBorders>
            <w:shd w:val="clear" w:color="auto" w:fill="auto"/>
            <w:vAlign w:val="center"/>
          </w:tcPr>
          <w:p>
            <w:r>
              <w:rPr>
                <w:rFonts w:hint="eastAsia"/>
              </w:rPr>
              <w:t>20</w:t>
            </w:r>
          </w:p>
        </w:tc>
      </w:tr>
      <w:tr>
        <w:tblPrEx>
          <w:tblCellMar>
            <w:top w:w="0" w:type="dxa"/>
            <w:left w:w="108" w:type="dxa"/>
            <w:bottom w:w="0" w:type="dxa"/>
            <w:right w:w="108" w:type="dxa"/>
          </w:tblCellMar>
        </w:tblPrEx>
        <w:trPr>
          <w:trHeight w:val="394" w:hRule="atLeast"/>
        </w:trPr>
        <w:tc>
          <w:tcPr>
            <w:tcW w:w="908" w:type="dxa"/>
            <w:tcBorders>
              <w:top w:val="nil"/>
              <w:left w:val="single" w:color="auto" w:sz="4" w:space="0"/>
              <w:bottom w:val="single" w:color="auto" w:sz="4" w:space="0"/>
              <w:right w:val="single" w:color="auto" w:sz="4" w:space="0"/>
            </w:tcBorders>
            <w:shd w:val="clear" w:color="auto" w:fill="auto"/>
            <w:vAlign w:val="center"/>
          </w:tcPr>
          <w:p>
            <w:r>
              <w:rPr>
                <w:rFonts w:hint="eastAsia"/>
              </w:rPr>
              <w:t>11</w:t>
            </w:r>
          </w:p>
        </w:tc>
        <w:tc>
          <w:tcPr>
            <w:tcW w:w="1528" w:type="dxa"/>
            <w:tcBorders>
              <w:top w:val="nil"/>
              <w:left w:val="nil"/>
              <w:bottom w:val="single" w:color="auto" w:sz="4" w:space="0"/>
              <w:right w:val="single" w:color="auto" w:sz="4" w:space="0"/>
            </w:tcBorders>
            <w:shd w:val="clear" w:color="auto" w:fill="auto"/>
            <w:vAlign w:val="center"/>
          </w:tcPr>
          <w:p>
            <w:r>
              <w:rPr>
                <w:rFonts w:hint="eastAsia"/>
              </w:rPr>
              <w:t>汇聚交换机（光口）</w:t>
            </w:r>
          </w:p>
        </w:tc>
        <w:tc>
          <w:tcPr>
            <w:tcW w:w="10713" w:type="dxa"/>
            <w:tcBorders>
              <w:top w:val="nil"/>
              <w:left w:val="nil"/>
              <w:bottom w:val="single" w:color="auto" w:sz="4" w:space="0"/>
              <w:right w:val="single" w:color="auto" w:sz="4" w:space="0"/>
            </w:tcBorders>
            <w:shd w:val="clear" w:color="auto" w:fill="auto"/>
            <w:vAlign w:val="center"/>
          </w:tcPr>
          <w:p>
            <w:pPr>
              <w:rPr>
                <w:rFonts w:hint="eastAsia" w:eastAsia="宋体"/>
                <w:lang w:eastAsia="zh-CN"/>
              </w:rPr>
            </w:pPr>
            <w:r>
              <w:rPr>
                <w:rFonts w:hint="eastAsia"/>
              </w:rPr>
              <w:t>1、配置：可用千兆光接口数量≥24，复用的千兆电口数量≥8，非复用万兆光接口数量≥4</w:t>
            </w:r>
          </w:p>
          <w:p>
            <w:pPr>
              <w:rPr>
                <w:rFonts w:hint="eastAsia" w:eastAsia="宋体"/>
                <w:lang w:eastAsia="zh-CN"/>
              </w:rPr>
            </w:pPr>
            <w:r>
              <w:rPr>
                <w:rFonts w:hint="eastAsia"/>
              </w:rPr>
              <w:t>2、支持独立的console管理串口</w:t>
            </w:r>
          </w:p>
          <w:p>
            <w:pPr>
              <w:rPr>
                <w:rFonts w:hint="eastAsia" w:eastAsia="宋体"/>
                <w:lang w:eastAsia="zh-CN"/>
              </w:rPr>
            </w:pPr>
            <w:r>
              <w:rPr>
                <w:rFonts w:hint="eastAsia"/>
              </w:rPr>
              <w:t>3、交换容量：336Gbps/3.36Tbps</w:t>
            </w:r>
          </w:p>
          <w:p>
            <w:pPr>
              <w:rPr>
                <w:rFonts w:hint="eastAsia" w:eastAsia="宋体"/>
                <w:lang w:eastAsia="zh-CN"/>
              </w:rPr>
            </w:pPr>
            <w:r>
              <w:rPr>
                <w:rFonts w:hint="eastAsia"/>
              </w:rPr>
              <w:t>4、转发性能：108Mpps/126Mpps</w:t>
            </w:r>
          </w:p>
          <w:p>
            <w:pPr>
              <w:rPr>
                <w:rFonts w:hint="eastAsia" w:eastAsia="宋体"/>
                <w:lang w:eastAsia="zh-CN"/>
              </w:rPr>
            </w:pPr>
            <w:r>
              <w:rPr>
                <w:rFonts w:hint="eastAsia"/>
              </w:rPr>
              <w:t>5、支持802.3ad规定的链路聚合功能</w:t>
            </w:r>
          </w:p>
          <w:p>
            <w:pPr>
              <w:rPr>
                <w:rFonts w:hint="eastAsia" w:eastAsia="宋体"/>
                <w:lang w:eastAsia="zh-CN"/>
              </w:rPr>
            </w:pPr>
            <w:r>
              <w:rPr>
                <w:rFonts w:hint="eastAsia"/>
              </w:rPr>
              <w:t>6、支持MAC地址绑定功能</w:t>
            </w:r>
          </w:p>
          <w:p>
            <w:pPr>
              <w:rPr>
                <w:rFonts w:hint="eastAsia" w:eastAsia="宋体"/>
                <w:lang w:eastAsia="zh-CN"/>
              </w:rPr>
            </w:pPr>
            <w:r>
              <w:rPr>
                <w:rFonts w:hint="eastAsia"/>
              </w:rPr>
              <w:t>7、支持按端口划分VLAN，支持VLAN TRUNK</w:t>
            </w:r>
          </w:p>
          <w:p>
            <w:pPr>
              <w:rPr>
                <w:rFonts w:hint="eastAsia" w:eastAsia="宋体"/>
                <w:lang w:eastAsia="zh-CN"/>
              </w:rPr>
            </w:pPr>
            <w:r>
              <w:rPr>
                <w:rFonts w:hint="eastAsia"/>
              </w:rPr>
              <w:t>8、支持 IPv4/IPv6 静态路由，支持 ND、Pingv6、Telnetv6、FTPv6、TFTPv6、ICMPv6</w:t>
            </w:r>
          </w:p>
          <w:p>
            <w:pPr>
              <w:rPr>
                <w:rFonts w:hint="eastAsia" w:eastAsia="宋体"/>
                <w:lang w:eastAsia="zh-CN"/>
              </w:rPr>
            </w:pPr>
            <w:r>
              <w:rPr>
                <w:rFonts w:hint="eastAsia"/>
              </w:rPr>
              <w:t>9、支持广播风暴抑制</w:t>
            </w:r>
          </w:p>
          <w:p>
            <w:pPr>
              <w:rPr>
                <w:rFonts w:hint="eastAsia" w:eastAsia="宋体"/>
                <w:lang w:eastAsia="zh-CN"/>
              </w:rPr>
            </w:pPr>
            <w:r>
              <w:rPr>
                <w:rFonts w:hint="eastAsia"/>
              </w:rPr>
              <w:t>10、支持IGMP Snooping</w:t>
            </w:r>
          </w:p>
          <w:p>
            <w:pPr>
              <w:rPr>
                <w:rFonts w:hint="eastAsia" w:eastAsia="宋体"/>
                <w:lang w:eastAsia="zh-CN"/>
              </w:rPr>
            </w:pPr>
            <w:r>
              <w:rPr>
                <w:rFonts w:hint="eastAsia"/>
              </w:rPr>
              <w:t>11、支持基于源MAC地址、目的MAC地址的ACL</w:t>
            </w:r>
          </w:p>
          <w:p>
            <w:pPr>
              <w:rPr>
                <w:rFonts w:hint="eastAsia" w:eastAsia="宋体"/>
                <w:lang w:eastAsia="zh-CN"/>
              </w:rPr>
            </w:pPr>
            <w:r>
              <w:rPr>
                <w:rFonts w:hint="eastAsia"/>
              </w:rPr>
              <w:t>12、支持端口镜像</w:t>
            </w:r>
          </w:p>
          <w:p>
            <w:r>
              <w:rPr>
                <w:rFonts w:hint="eastAsia"/>
              </w:rPr>
              <w:t>13、可以为远程连接用户提供访问控制，拒绝未通过验证的连接</w:t>
            </w:r>
          </w:p>
        </w:tc>
        <w:tc>
          <w:tcPr>
            <w:tcW w:w="851" w:type="dxa"/>
            <w:tcBorders>
              <w:top w:val="nil"/>
              <w:left w:val="nil"/>
              <w:bottom w:val="single" w:color="auto" w:sz="4" w:space="0"/>
              <w:right w:val="single" w:color="auto" w:sz="4" w:space="0"/>
            </w:tcBorders>
            <w:shd w:val="clear" w:color="auto" w:fill="auto"/>
            <w:vAlign w:val="center"/>
          </w:tcPr>
          <w:p>
            <w:r>
              <w:rPr>
                <w:rFonts w:hint="eastAsia"/>
              </w:rPr>
              <w:t>台</w:t>
            </w:r>
          </w:p>
        </w:tc>
        <w:tc>
          <w:tcPr>
            <w:tcW w:w="793" w:type="dxa"/>
            <w:tcBorders>
              <w:top w:val="nil"/>
              <w:left w:val="nil"/>
              <w:bottom w:val="single" w:color="auto" w:sz="4" w:space="0"/>
              <w:right w:val="single" w:color="auto" w:sz="4" w:space="0"/>
            </w:tcBorders>
            <w:shd w:val="clear" w:color="auto" w:fill="auto"/>
            <w:vAlign w:val="center"/>
          </w:tcPr>
          <w:p>
            <w:r>
              <w:rPr>
                <w:rFonts w:hint="eastAsia"/>
              </w:rPr>
              <w:t>1</w:t>
            </w:r>
          </w:p>
        </w:tc>
      </w:tr>
      <w:tr>
        <w:tblPrEx>
          <w:tblCellMar>
            <w:top w:w="0" w:type="dxa"/>
            <w:left w:w="108" w:type="dxa"/>
            <w:bottom w:w="0" w:type="dxa"/>
            <w:right w:w="108" w:type="dxa"/>
          </w:tblCellMar>
        </w:tblPrEx>
        <w:trPr>
          <w:trHeight w:val="394" w:hRule="atLeast"/>
        </w:trPr>
        <w:tc>
          <w:tcPr>
            <w:tcW w:w="908" w:type="dxa"/>
            <w:tcBorders>
              <w:top w:val="nil"/>
              <w:left w:val="single" w:color="auto" w:sz="4" w:space="0"/>
              <w:bottom w:val="single" w:color="auto" w:sz="4" w:space="0"/>
              <w:right w:val="single" w:color="auto" w:sz="4" w:space="0"/>
            </w:tcBorders>
            <w:shd w:val="clear" w:color="auto" w:fill="auto"/>
            <w:vAlign w:val="center"/>
          </w:tcPr>
          <w:p>
            <w:r>
              <w:rPr>
                <w:rFonts w:hint="eastAsia"/>
              </w:rPr>
              <w:t>12</w:t>
            </w:r>
          </w:p>
        </w:tc>
        <w:tc>
          <w:tcPr>
            <w:tcW w:w="1528" w:type="dxa"/>
            <w:tcBorders>
              <w:top w:val="nil"/>
              <w:left w:val="nil"/>
              <w:bottom w:val="single" w:color="auto" w:sz="4" w:space="0"/>
              <w:right w:val="single" w:color="auto" w:sz="4" w:space="0"/>
            </w:tcBorders>
            <w:shd w:val="clear" w:color="auto" w:fill="auto"/>
            <w:vAlign w:val="center"/>
          </w:tcPr>
          <w:p>
            <w:r>
              <w:rPr>
                <w:rFonts w:hint="eastAsia"/>
              </w:rPr>
              <w:t>光模块</w:t>
            </w:r>
          </w:p>
        </w:tc>
        <w:tc>
          <w:tcPr>
            <w:tcW w:w="10713" w:type="dxa"/>
            <w:tcBorders>
              <w:top w:val="nil"/>
              <w:left w:val="nil"/>
              <w:bottom w:val="single" w:color="auto" w:sz="4" w:space="0"/>
              <w:right w:val="single" w:color="auto" w:sz="4" w:space="0"/>
            </w:tcBorders>
            <w:shd w:val="clear" w:color="auto" w:fill="auto"/>
            <w:vAlign w:val="center"/>
          </w:tcPr>
          <w:p>
            <w:r>
              <w:rPr>
                <w:rFonts w:hint="eastAsia"/>
              </w:rPr>
              <w:t>千兆20公里单模</w:t>
            </w:r>
          </w:p>
        </w:tc>
        <w:tc>
          <w:tcPr>
            <w:tcW w:w="851" w:type="dxa"/>
            <w:tcBorders>
              <w:top w:val="nil"/>
              <w:left w:val="nil"/>
              <w:bottom w:val="single" w:color="auto" w:sz="4" w:space="0"/>
              <w:right w:val="single" w:color="auto" w:sz="4" w:space="0"/>
            </w:tcBorders>
            <w:shd w:val="clear" w:color="auto" w:fill="auto"/>
            <w:vAlign w:val="center"/>
          </w:tcPr>
          <w:p>
            <w:r>
              <w:rPr>
                <w:rFonts w:hint="eastAsia"/>
              </w:rPr>
              <w:t>台</w:t>
            </w:r>
          </w:p>
        </w:tc>
        <w:tc>
          <w:tcPr>
            <w:tcW w:w="793" w:type="dxa"/>
            <w:tcBorders>
              <w:top w:val="nil"/>
              <w:left w:val="nil"/>
              <w:bottom w:val="single" w:color="auto" w:sz="4" w:space="0"/>
              <w:right w:val="single" w:color="auto" w:sz="4" w:space="0"/>
            </w:tcBorders>
            <w:shd w:val="clear" w:color="auto" w:fill="auto"/>
            <w:vAlign w:val="center"/>
          </w:tcPr>
          <w:p>
            <w:r>
              <w:rPr>
                <w:rFonts w:hint="eastAsia"/>
              </w:rPr>
              <w:t>2</w:t>
            </w:r>
          </w:p>
        </w:tc>
      </w:tr>
      <w:tr>
        <w:tblPrEx>
          <w:tblCellMar>
            <w:top w:w="0" w:type="dxa"/>
            <w:left w:w="108" w:type="dxa"/>
            <w:bottom w:w="0" w:type="dxa"/>
            <w:right w:w="108" w:type="dxa"/>
          </w:tblCellMar>
        </w:tblPrEx>
        <w:trPr>
          <w:trHeight w:val="394" w:hRule="atLeast"/>
        </w:trPr>
        <w:tc>
          <w:tcPr>
            <w:tcW w:w="2436" w:type="dxa"/>
            <w:gridSpan w:val="2"/>
            <w:tcBorders>
              <w:top w:val="nil"/>
              <w:left w:val="single" w:color="auto" w:sz="4" w:space="0"/>
              <w:bottom w:val="single" w:color="auto" w:sz="4" w:space="0"/>
              <w:right w:val="single" w:color="auto" w:sz="4" w:space="0"/>
            </w:tcBorders>
            <w:shd w:val="clear" w:color="auto" w:fill="auto"/>
            <w:vAlign w:val="center"/>
          </w:tcPr>
          <w:p>
            <w:r>
              <w:rPr>
                <w:rFonts w:hint="eastAsia"/>
              </w:rPr>
              <w:t>三、安装辅材</w:t>
            </w:r>
          </w:p>
        </w:tc>
        <w:tc>
          <w:tcPr>
            <w:tcW w:w="10713" w:type="dxa"/>
            <w:tcBorders>
              <w:top w:val="nil"/>
              <w:left w:val="nil"/>
              <w:bottom w:val="single" w:color="auto" w:sz="4" w:space="0"/>
              <w:right w:val="single" w:color="auto" w:sz="4" w:space="0"/>
            </w:tcBorders>
            <w:shd w:val="clear" w:color="auto" w:fill="auto"/>
            <w:vAlign w:val="center"/>
          </w:tcPr>
          <w:p/>
        </w:tc>
        <w:tc>
          <w:tcPr>
            <w:tcW w:w="851" w:type="dxa"/>
            <w:tcBorders>
              <w:top w:val="nil"/>
              <w:left w:val="nil"/>
              <w:bottom w:val="single" w:color="auto" w:sz="4" w:space="0"/>
              <w:right w:val="single" w:color="auto" w:sz="4" w:space="0"/>
            </w:tcBorders>
            <w:shd w:val="clear" w:color="auto" w:fill="auto"/>
            <w:vAlign w:val="center"/>
          </w:tcPr>
          <w:p/>
        </w:tc>
        <w:tc>
          <w:tcPr>
            <w:tcW w:w="793" w:type="dxa"/>
            <w:tcBorders>
              <w:top w:val="nil"/>
              <w:left w:val="nil"/>
              <w:bottom w:val="single" w:color="auto" w:sz="4" w:space="0"/>
              <w:right w:val="single" w:color="auto" w:sz="4" w:space="0"/>
            </w:tcBorders>
            <w:shd w:val="clear" w:color="auto" w:fill="auto"/>
            <w:vAlign w:val="center"/>
          </w:tcPr>
          <w:p/>
        </w:tc>
      </w:tr>
      <w:tr>
        <w:tblPrEx>
          <w:tblCellMar>
            <w:top w:w="0" w:type="dxa"/>
            <w:left w:w="108" w:type="dxa"/>
            <w:bottom w:w="0" w:type="dxa"/>
            <w:right w:w="108" w:type="dxa"/>
          </w:tblCellMar>
        </w:tblPrEx>
        <w:trPr>
          <w:trHeight w:val="394" w:hRule="atLeast"/>
        </w:trPr>
        <w:tc>
          <w:tcPr>
            <w:tcW w:w="908" w:type="dxa"/>
            <w:tcBorders>
              <w:top w:val="nil"/>
              <w:left w:val="single" w:color="auto" w:sz="4" w:space="0"/>
              <w:bottom w:val="single" w:color="auto" w:sz="4" w:space="0"/>
              <w:right w:val="single" w:color="auto" w:sz="4" w:space="0"/>
            </w:tcBorders>
            <w:shd w:val="clear" w:color="auto" w:fill="auto"/>
            <w:vAlign w:val="center"/>
          </w:tcPr>
          <w:p>
            <w:r>
              <w:rPr>
                <w:rFonts w:hint="eastAsia"/>
              </w:rPr>
              <w:t>13</w:t>
            </w:r>
          </w:p>
        </w:tc>
        <w:tc>
          <w:tcPr>
            <w:tcW w:w="1528" w:type="dxa"/>
            <w:tcBorders>
              <w:top w:val="nil"/>
              <w:left w:val="nil"/>
              <w:bottom w:val="single" w:color="auto" w:sz="4" w:space="0"/>
              <w:right w:val="single" w:color="auto" w:sz="4" w:space="0"/>
            </w:tcBorders>
            <w:shd w:val="clear" w:color="auto" w:fill="auto"/>
            <w:vAlign w:val="center"/>
          </w:tcPr>
          <w:p>
            <w:r>
              <w:rPr>
                <w:rFonts w:hint="eastAsia"/>
              </w:rPr>
              <w:t>通信线缆</w:t>
            </w:r>
          </w:p>
        </w:tc>
        <w:tc>
          <w:tcPr>
            <w:tcW w:w="10713" w:type="dxa"/>
            <w:tcBorders>
              <w:top w:val="nil"/>
              <w:left w:val="nil"/>
              <w:bottom w:val="single" w:color="auto" w:sz="4" w:space="0"/>
              <w:right w:val="single" w:color="auto" w:sz="4" w:space="0"/>
            </w:tcBorders>
            <w:shd w:val="clear" w:color="auto" w:fill="auto"/>
            <w:vAlign w:val="center"/>
          </w:tcPr>
          <w:p>
            <w:r>
              <w:rPr>
                <w:rFonts w:hint="eastAsia"/>
              </w:rPr>
              <w:t>网线</w:t>
            </w:r>
          </w:p>
        </w:tc>
        <w:tc>
          <w:tcPr>
            <w:tcW w:w="851" w:type="dxa"/>
            <w:tcBorders>
              <w:top w:val="nil"/>
              <w:left w:val="nil"/>
              <w:bottom w:val="single" w:color="auto" w:sz="4" w:space="0"/>
              <w:right w:val="single" w:color="auto" w:sz="4" w:space="0"/>
            </w:tcBorders>
            <w:shd w:val="clear" w:color="auto" w:fill="auto"/>
            <w:vAlign w:val="center"/>
          </w:tcPr>
          <w:p>
            <w:r>
              <w:rPr>
                <w:rFonts w:hint="eastAsia"/>
              </w:rPr>
              <w:t>米</w:t>
            </w:r>
          </w:p>
        </w:tc>
        <w:tc>
          <w:tcPr>
            <w:tcW w:w="793" w:type="dxa"/>
            <w:tcBorders>
              <w:top w:val="nil"/>
              <w:left w:val="nil"/>
              <w:bottom w:val="single" w:color="auto" w:sz="4" w:space="0"/>
              <w:right w:val="single" w:color="auto" w:sz="4" w:space="0"/>
            </w:tcBorders>
            <w:shd w:val="clear" w:color="auto" w:fill="auto"/>
            <w:vAlign w:val="center"/>
          </w:tcPr>
          <w:p>
            <w:r>
              <w:t>1183</w:t>
            </w:r>
          </w:p>
        </w:tc>
      </w:tr>
      <w:tr>
        <w:tblPrEx>
          <w:tblCellMar>
            <w:top w:w="0" w:type="dxa"/>
            <w:left w:w="108" w:type="dxa"/>
            <w:bottom w:w="0" w:type="dxa"/>
            <w:right w:w="108" w:type="dxa"/>
          </w:tblCellMar>
        </w:tblPrEx>
        <w:trPr>
          <w:trHeight w:val="394" w:hRule="atLeast"/>
        </w:trPr>
        <w:tc>
          <w:tcPr>
            <w:tcW w:w="908" w:type="dxa"/>
            <w:tcBorders>
              <w:top w:val="nil"/>
              <w:left w:val="single" w:color="auto" w:sz="4" w:space="0"/>
              <w:bottom w:val="single" w:color="auto" w:sz="4" w:space="0"/>
              <w:right w:val="single" w:color="auto" w:sz="4" w:space="0"/>
            </w:tcBorders>
            <w:shd w:val="clear" w:color="auto" w:fill="auto"/>
            <w:vAlign w:val="center"/>
          </w:tcPr>
          <w:p>
            <w:r>
              <w:rPr>
                <w:rFonts w:hint="eastAsia"/>
              </w:rPr>
              <w:t>14</w:t>
            </w:r>
          </w:p>
        </w:tc>
        <w:tc>
          <w:tcPr>
            <w:tcW w:w="1528" w:type="dxa"/>
            <w:tcBorders>
              <w:top w:val="nil"/>
              <w:left w:val="nil"/>
              <w:bottom w:val="single" w:color="auto" w:sz="4" w:space="0"/>
              <w:right w:val="single" w:color="auto" w:sz="4" w:space="0"/>
            </w:tcBorders>
            <w:shd w:val="clear" w:color="auto" w:fill="auto"/>
            <w:vAlign w:val="center"/>
          </w:tcPr>
          <w:p>
            <w:r>
              <w:rPr>
                <w:rFonts w:hint="eastAsia"/>
              </w:rPr>
              <w:t>电源线缆</w:t>
            </w:r>
          </w:p>
        </w:tc>
        <w:tc>
          <w:tcPr>
            <w:tcW w:w="10713" w:type="dxa"/>
            <w:tcBorders>
              <w:top w:val="nil"/>
              <w:left w:val="nil"/>
              <w:bottom w:val="single" w:color="auto" w:sz="4" w:space="0"/>
              <w:right w:val="single" w:color="auto" w:sz="4" w:space="0"/>
            </w:tcBorders>
            <w:shd w:val="clear" w:color="auto" w:fill="auto"/>
            <w:vAlign w:val="center"/>
          </w:tcPr>
          <w:p>
            <w:r>
              <w:rPr>
                <w:rFonts w:hint="eastAsia"/>
              </w:rPr>
              <w:t>阻燃电源线</w:t>
            </w:r>
          </w:p>
        </w:tc>
        <w:tc>
          <w:tcPr>
            <w:tcW w:w="851" w:type="dxa"/>
            <w:tcBorders>
              <w:top w:val="nil"/>
              <w:left w:val="nil"/>
              <w:bottom w:val="single" w:color="auto" w:sz="4" w:space="0"/>
              <w:right w:val="single" w:color="auto" w:sz="4" w:space="0"/>
            </w:tcBorders>
            <w:shd w:val="clear" w:color="auto" w:fill="auto"/>
            <w:vAlign w:val="center"/>
          </w:tcPr>
          <w:p>
            <w:r>
              <w:rPr>
                <w:rFonts w:hint="eastAsia"/>
              </w:rPr>
              <w:t>米</w:t>
            </w:r>
          </w:p>
        </w:tc>
        <w:tc>
          <w:tcPr>
            <w:tcW w:w="793" w:type="dxa"/>
            <w:tcBorders>
              <w:top w:val="nil"/>
              <w:left w:val="nil"/>
              <w:bottom w:val="single" w:color="auto" w:sz="4" w:space="0"/>
              <w:right w:val="single" w:color="auto" w:sz="4" w:space="0"/>
            </w:tcBorders>
            <w:shd w:val="clear" w:color="auto" w:fill="auto"/>
            <w:vAlign w:val="center"/>
          </w:tcPr>
          <w:p>
            <w:r>
              <w:t>1183</w:t>
            </w:r>
          </w:p>
        </w:tc>
      </w:tr>
      <w:tr>
        <w:tblPrEx>
          <w:tblCellMar>
            <w:top w:w="0" w:type="dxa"/>
            <w:left w:w="108" w:type="dxa"/>
            <w:bottom w:w="0" w:type="dxa"/>
            <w:right w:w="108" w:type="dxa"/>
          </w:tblCellMar>
        </w:tblPrEx>
        <w:trPr>
          <w:trHeight w:val="394" w:hRule="atLeast"/>
        </w:trPr>
        <w:tc>
          <w:tcPr>
            <w:tcW w:w="908" w:type="dxa"/>
            <w:tcBorders>
              <w:top w:val="nil"/>
              <w:left w:val="single" w:color="auto" w:sz="4" w:space="0"/>
              <w:bottom w:val="single" w:color="auto" w:sz="4" w:space="0"/>
              <w:right w:val="single" w:color="auto" w:sz="4" w:space="0"/>
            </w:tcBorders>
            <w:shd w:val="clear" w:color="auto" w:fill="auto"/>
            <w:vAlign w:val="center"/>
          </w:tcPr>
          <w:p>
            <w:r>
              <w:rPr>
                <w:rFonts w:hint="eastAsia"/>
              </w:rPr>
              <w:t>15</w:t>
            </w:r>
          </w:p>
        </w:tc>
        <w:tc>
          <w:tcPr>
            <w:tcW w:w="1528" w:type="dxa"/>
            <w:tcBorders>
              <w:top w:val="nil"/>
              <w:left w:val="nil"/>
              <w:bottom w:val="single" w:color="auto" w:sz="4" w:space="0"/>
              <w:right w:val="single" w:color="auto" w:sz="4" w:space="0"/>
            </w:tcBorders>
            <w:shd w:val="clear" w:color="auto" w:fill="auto"/>
            <w:vAlign w:val="center"/>
          </w:tcPr>
          <w:p>
            <w:r>
              <w:rPr>
                <w:rFonts w:hint="eastAsia"/>
              </w:rPr>
              <w:t>管槽</w:t>
            </w:r>
          </w:p>
        </w:tc>
        <w:tc>
          <w:tcPr>
            <w:tcW w:w="10713" w:type="dxa"/>
            <w:tcBorders>
              <w:top w:val="nil"/>
              <w:left w:val="nil"/>
              <w:bottom w:val="single" w:color="auto" w:sz="4" w:space="0"/>
              <w:right w:val="single" w:color="auto" w:sz="4" w:space="0"/>
            </w:tcBorders>
            <w:shd w:val="clear" w:color="auto" w:fill="auto"/>
            <w:vAlign w:val="center"/>
          </w:tcPr>
          <w:p>
            <w:r>
              <w:rPr>
                <w:rFonts w:hint="eastAsia"/>
              </w:rPr>
              <w:t>镀锌管</w:t>
            </w:r>
          </w:p>
        </w:tc>
        <w:tc>
          <w:tcPr>
            <w:tcW w:w="851" w:type="dxa"/>
            <w:tcBorders>
              <w:top w:val="nil"/>
              <w:left w:val="nil"/>
              <w:bottom w:val="single" w:color="auto" w:sz="4" w:space="0"/>
              <w:right w:val="single" w:color="auto" w:sz="4" w:space="0"/>
            </w:tcBorders>
            <w:shd w:val="clear" w:color="auto" w:fill="auto"/>
            <w:vAlign w:val="center"/>
          </w:tcPr>
          <w:p>
            <w:r>
              <w:rPr>
                <w:rFonts w:hint="eastAsia"/>
              </w:rPr>
              <w:t>米</w:t>
            </w:r>
          </w:p>
        </w:tc>
        <w:tc>
          <w:tcPr>
            <w:tcW w:w="793" w:type="dxa"/>
            <w:tcBorders>
              <w:top w:val="nil"/>
              <w:left w:val="nil"/>
              <w:bottom w:val="single" w:color="auto" w:sz="4" w:space="0"/>
              <w:right w:val="single" w:color="auto" w:sz="4" w:space="0"/>
            </w:tcBorders>
            <w:shd w:val="clear" w:color="auto" w:fill="auto"/>
            <w:vAlign w:val="center"/>
          </w:tcPr>
          <w:p>
            <w:r>
              <w:t>2096</w:t>
            </w:r>
          </w:p>
        </w:tc>
      </w:tr>
      <w:tr>
        <w:tblPrEx>
          <w:tblCellMar>
            <w:top w:w="0" w:type="dxa"/>
            <w:left w:w="108" w:type="dxa"/>
            <w:bottom w:w="0" w:type="dxa"/>
            <w:right w:w="108" w:type="dxa"/>
          </w:tblCellMar>
        </w:tblPrEx>
        <w:trPr>
          <w:trHeight w:val="394" w:hRule="atLeast"/>
        </w:trPr>
        <w:tc>
          <w:tcPr>
            <w:tcW w:w="908" w:type="dxa"/>
            <w:tcBorders>
              <w:top w:val="nil"/>
              <w:left w:val="single" w:color="auto" w:sz="4" w:space="0"/>
              <w:bottom w:val="single" w:color="auto" w:sz="4" w:space="0"/>
              <w:right w:val="single" w:color="auto" w:sz="4" w:space="0"/>
            </w:tcBorders>
            <w:shd w:val="clear" w:color="auto" w:fill="auto"/>
            <w:vAlign w:val="center"/>
          </w:tcPr>
          <w:p>
            <w:r>
              <w:rPr>
                <w:rFonts w:hint="eastAsia"/>
              </w:rPr>
              <w:t>16</w:t>
            </w:r>
          </w:p>
        </w:tc>
        <w:tc>
          <w:tcPr>
            <w:tcW w:w="1528" w:type="dxa"/>
            <w:tcBorders>
              <w:top w:val="nil"/>
              <w:left w:val="nil"/>
              <w:bottom w:val="single" w:color="auto" w:sz="4" w:space="0"/>
              <w:right w:val="single" w:color="auto" w:sz="4" w:space="0"/>
            </w:tcBorders>
            <w:shd w:val="clear" w:color="auto" w:fill="auto"/>
            <w:vAlign w:val="center"/>
          </w:tcPr>
          <w:p>
            <w:r>
              <w:rPr>
                <w:rFonts w:hint="eastAsia"/>
              </w:rPr>
              <w:t>线缆辅材</w:t>
            </w:r>
          </w:p>
        </w:tc>
        <w:tc>
          <w:tcPr>
            <w:tcW w:w="10713" w:type="dxa"/>
            <w:tcBorders>
              <w:top w:val="nil"/>
              <w:left w:val="nil"/>
              <w:bottom w:val="single" w:color="auto" w:sz="4" w:space="0"/>
              <w:right w:val="single" w:color="auto" w:sz="4" w:space="0"/>
            </w:tcBorders>
            <w:shd w:val="clear" w:color="auto" w:fill="auto"/>
            <w:vAlign w:val="center"/>
          </w:tcPr>
          <w:p>
            <w:r>
              <w:rPr>
                <w:rFonts w:hint="eastAsia"/>
              </w:rPr>
              <w:t>PVC软管,水晶头、卡扣，尾纤，定制线等辅材</w:t>
            </w:r>
          </w:p>
        </w:tc>
        <w:tc>
          <w:tcPr>
            <w:tcW w:w="851" w:type="dxa"/>
            <w:tcBorders>
              <w:top w:val="nil"/>
              <w:left w:val="nil"/>
              <w:bottom w:val="single" w:color="auto" w:sz="4" w:space="0"/>
              <w:right w:val="single" w:color="auto" w:sz="4" w:space="0"/>
            </w:tcBorders>
            <w:shd w:val="clear" w:color="auto" w:fill="auto"/>
            <w:vAlign w:val="center"/>
          </w:tcPr>
          <w:p>
            <w:r>
              <w:rPr>
                <w:rFonts w:hint="eastAsia"/>
              </w:rPr>
              <w:t>批</w:t>
            </w:r>
          </w:p>
        </w:tc>
        <w:tc>
          <w:tcPr>
            <w:tcW w:w="793" w:type="dxa"/>
            <w:tcBorders>
              <w:top w:val="nil"/>
              <w:left w:val="nil"/>
              <w:bottom w:val="single" w:color="auto" w:sz="4" w:space="0"/>
              <w:right w:val="single" w:color="auto" w:sz="4" w:space="0"/>
            </w:tcBorders>
            <w:shd w:val="clear" w:color="auto" w:fill="auto"/>
            <w:vAlign w:val="center"/>
          </w:tcPr>
          <w:p>
            <w:r>
              <w:rPr>
                <w:rFonts w:hint="eastAsia"/>
              </w:rPr>
              <w:t>1</w:t>
            </w:r>
          </w:p>
        </w:tc>
      </w:tr>
    </w:tbl>
    <w:p>
      <w:pPr>
        <w:ind w:firstLine="562" w:firstLineChars="200"/>
        <w:rPr>
          <w:b/>
          <w:sz w:val="28"/>
          <w:szCs w:val="28"/>
        </w:rPr>
      </w:pPr>
    </w:p>
    <w:p>
      <w:pPr>
        <w:tabs>
          <w:tab w:val="left" w:pos="1239"/>
        </w:tabs>
        <w:rPr>
          <w:b/>
          <w:sz w:val="28"/>
          <w:szCs w:val="28"/>
        </w:rPr>
      </w:pPr>
      <w:r>
        <w:rPr>
          <w:rFonts w:hint="eastAsia" w:hAnsi="宋体" w:cs="宋体"/>
          <w:b/>
          <w:sz w:val="28"/>
          <w:szCs w:val="28"/>
        </w:rPr>
        <w:t>供应商应提供</w:t>
      </w:r>
      <w:r>
        <w:rPr>
          <w:rFonts w:hint="eastAsia"/>
          <w:b/>
          <w:sz w:val="28"/>
          <w:szCs w:val="28"/>
        </w:rPr>
        <w:t>包括以上设备的包装、运输、安装、调试工作。</w:t>
      </w:r>
    </w:p>
    <w:p>
      <w:pPr>
        <w:tabs>
          <w:tab w:val="left" w:pos="1239"/>
        </w:tabs>
        <w:rPr>
          <w:sz w:val="28"/>
          <w:szCs w:val="28"/>
        </w:rPr>
        <w:sectPr>
          <w:type w:val="nextColumn"/>
          <w:pgSz w:w="16840" w:h="11907" w:orient="landscape"/>
          <w:pgMar w:top="1418" w:right="1304" w:bottom="1843" w:left="1247" w:header="720" w:footer="720" w:gutter="0"/>
          <w:cols w:space="720" w:num="1"/>
        </w:sectPr>
      </w:pPr>
      <w:r>
        <w:rPr>
          <w:sz w:val="28"/>
          <w:szCs w:val="28"/>
        </w:rPr>
        <w:tab/>
      </w:r>
    </w:p>
    <w:p>
      <w:pPr>
        <w:pStyle w:val="3"/>
      </w:pPr>
      <w:bookmarkStart w:id="9" w:name="_Toc45048063"/>
      <w:r>
        <w:t>三、其他要求</w:t>
      </w:r>
      <w:bookmarkEnd w:id="9"/>
    </w:p>
    <w:p>
      <w:pPr>
        <w:spacing w:line="360" w:lineRule="auto"/>
        <w:ind w:firstLine="482" w:firstLineChars="200"/>
        <w:rPr>
          <w:rFonts w:ascii="Times New Roman"/>
          <w:b/>
        </w:rPr>
      </w:pPr>
      <w:bookmarkStart w:id="10" w:name="_Toc365993894"/>
      <w:r>
        <w:rPr>
          <w:rFonts w:ascii="Times New Roman"/>
          <w:b/>
        </w:rPr>
        <w:t>（一）项目建设原则</w:t>
      </w:r>
      <w:bookmarkEnd w:id="10"/>
    </w:p>
    <w:p>
      <w:pPr>
        <w:spacing w:line="360" w:lineRule="auto"/>
        <w:ind w:firstLine="480"/>
        <w:rPr>
          <w:rFonts w:ascii="Times New Roman"/>
        </w:rPr>
      </w:pPr>
      <w:r>
        <w:rPr>
          <w:rFonts w:ascii="Times New Roman"/>
        </w:rPr>
        <w:t>（1）可靠实用原则</w:t>
      </w:r>
    </w:p>
    <w:p>
      <w:pPr>
        <w:spacing w:line="360" w:lineRule="auto"/>
        <w:ind w:firstLine="480"/>
        <w:rPr>
          <w:rFonts w:ascii="Times New Roman"/>
        </w:rPr>
      </w:pPr>
      <w:r>
        <w:rPr>
          <w:rFonts w:ascii="Times New Roman"/>
        </w:rPr>
        <w:t>项目建设应可靠实用。系统设计必须考虑到广东科学中心节能管理的需要，项目涉及的</w:t>
      </w:r>
      <w:r>
        <w:rPr>
          <w:rFonts w:hint="eastAsia" w:ascii="Times New Roman"/>
        </w:rPr>
        <w:t>安全检查</w:t>
      </w:r>
      <w:r>
        <w:rPr>
          <w:rFonts w:ascii="Times New Roman"/>
        </w:rPr>
        <w:t>系统的软硬件环境必须有良好的可靠性。</w:t>
      </w:r>
    </w:p>
    <w:p>
      <w:pPr>
        <w:spacing w:line="360" w:lineRule="auto"/>
        <w:ind w:firstLine="480"/>
        <w:rPr>
          <w:rFonts w:ascii="Times New Roman"/>
        </w:rPr>
      </w:pPr>
      <w:r>
        <w:rPr>
          <w:rFonts w:ascii="Times New Roman"/>
        </w:rPr>
        <w:t>（2）易操作性原则</w:t>
      </w:r>
    </w:p>
    <w:p>
      <w:pPr>
        <w:spacing w:line="360" w:lineRule="auto"/>
        <w:ind w:firstLine="480"/>
        <w:rPr>
          <w:rFonts w:ascii="Times New Roman"/>
        </w:rPr>
      </w:pPr>
      <w:r>
        <w:rPr>
          <w:rFonts w:ascii="Times New Roman"/>
        </w:rPr>
        <w:t>体系建设应遵循易管理、易使用、易学习的原则。</w:t>
      </w:r>
    </w:p>
    <w:p>
      <w:pPr>
        <w:spacing w:line="360" w:lineRule="auto"/>
        <w:ind w:firstLine="480"/>
        <w:rPr>
          <w:rFonts w:ascii="Times New Roman"/>
        </w:rPr>
      </w:pPr>
      <w:r>
        <w:rPr>
          <w:rFonts w:ascii="Times New Roman"/>
        </w:rPr>
        <w:t>（3）一致性原则</w:t>
      </w:r>
    </w:p>
    <w:p>
      <w:pPr>
        <w:spacing w:line="360" w:lineRule="auto"/>
        <w:ind w:firstLine="480"/>
        <w:rPr>
          <w:rFonts w:ascii="Times New Roman"/>
        </w:rPr>
      </w:pPr>
      <w:r>
        <w:rPr>
          <w:rFonts w:ascii="Times New Roman"/>
        </w:rPr>
        <w:t>项目系统方案设计应遵循统一的标准，要确保各系统标准的一致性，系统间能安全地互联互通、信息共享。</w:t>
      </w:r>
    </w:p>
    <w:p>
      <w:pPr>
        <w:spacing w:line="360" w:lineRule="auto"/>
        <w:ind w:firstLine="480"/>
        <w:rPr>
          <w:rFonts w:ascii="Times New Roman"/>
        </w:rPr>
      </w:pPr>
      <w:r>
        <w:rPr>
          <w:rFonts w:ascii="Times New Roman"/>
        </w:rPr>
        <w:t>（4）可管理性和可维护性</w:t>
      </w:r>
    </w:p>
    <w:p>
      <w:pPr>
        <w:spacing w:line="360" w:lineRule="auto"/>
        <w:ind w:firstLine="480"/>
        <w:rPr>
          <w:rFonts w:ascii="Times New Roman"/>
        </w:rPr>
      </w:pPr>
      <w:r>
        <w:rPr>
          <w:rFonts w:ascii="Times New Roman"/>
        </w:rPr>
        <w:t>整个体系是由多个部分组成的复杂系统，为了便于系统的日常运行维护和管理，要求所选产品具有良好的可管理性和可维护性。</w:t>
      </w:r>
    </w:p>
    <w:p>
      <w:pPr>
        <w:spacing w:line="360" w:lineRule="auto"/>
        <w:ind w:firstLine="480"/>
        <w:rPr>
          <w:rFonts w:ascii="Times New Roman"/>
        </w:rPr>
      </w:pPr>
      <w:r>
        <w:rPr>
          <w:rFonts w:ascii="Times New Roman"/>
        </w:rPr>
        <w:t>（5）软件开放数据通信接口</w:t>
      </w:r>
    </w:p>
    <w:p>
      <w:pPr>
        <w:spacing w:line="360" w:lineRule="auto"/>
        <w:ind w:firstLine="480"/>
        <w:rPr>
          <w:rFonts w:ascii="Times New Roman"/>
        </w:rPr>
      </w:pPr>
      <w:r>
        <w:rPr>
          <w:rFonts w:ascii="Times New Roman"/>
        </w:rPr>
        <w:t>系统软件需开放数据通信接口，便于对接其他软件系统平台。</w:t>
      </w:r>
    </w:p>
    <w:p>
      <w:pPr>
        <w:spacing w:line="360" w:lineRule="auto"/>
        <w:ind w:firstLine="482" w:firstLineChars="200"/>
        <w:rPr>
          <w:rFonts w:ascii="Times New Roman"/>
          <w:b/>
        </w:rPr>
      </w:pPr>
      <w:bookmarkStart w:id="11" w:name="_Toc347745314"/>
      <w:bookmarkStart w:id="12" w:name="_Toc365993896"/>
      <w:r>
        <w:rPr>
          <w:rFonts w:ascii="Times New Roman"/>
          <w:b/>
        </w:rPr>
        <w:t>（二）设备安装要求</w:t>
      </w:r>
      <w:bookmarkEnd w:id="11"/>
      <w:bookmarkEnd w:id="12"/>
    </w:p>
    <w:p>
      <w:pPr>
        <w:spacing w:line="360" w:lineRule="auto"/>
        <w:ind w:firstLine="420"/>
        <w:rPr>
          <w:rFonts w:ascii="Times New Roman"/>
        </w:rPr>
      </w:pPr>
      <w:r>
        <w:rPr>
          <w:rFonts w:ascii="Times New Roman"/>
        </w:rPr>
        <w:t>（1）若实施需新增线槽，线槽敷设根据原有线槽布置情况确定设备位置；</w:t>
      </w:r>
    </w:p>
    <w:p>
      <w:pPr>
        <w:spacing w:line="360" w:lineRule="auto"/>
        <w:ind w:firstLine="420"/>
        <w:rPr>
          <w:rFonts w:ascii="Times New Roman"/>
        </w:rPr>
      </w:pPr>
      <w:r>
        <w:rPr>
          <w:rFonts w:ascii="Times New Roman"/>
        </w:rPr>
        <w:t>（2）新增线槽和线管，应满足规范及相关标准的防火要求；</w:t>
      </w:r>
    </w:p>
    <w:p>
      <w:pPr>
        <w:spacing w:line="360" w:lineRule="auto"/>
        <w:ind w:firstLine="482" w:firstLineChars="200"/>
        <w:rPr>
          <w:rFonts w:ascii="Times New Roman"/>
          <w:b/>
        </w:rPr>
      </w:pPr>
      <w:bookmarkStart w:id="13" w:name="_Toc347745323"/>
      <w:bookmarkStart w:id="14" w:name="_Toc365993897"/>
      <w:r>
        <w:rPr>
          <w:rFonts w:ascii="Times New Roman"/>
          <w:b/>
        </w:rPr>
        <w:t>（三）项目实施</w:t>
      </w:r>
      <w:bookmarkEnd w:id="13"/>
      <w:bookmarkEnd w:id="14"/>
      <w:r>
        <w:rPr>
          <w:rFonts w:ascii="Times New Roman"/>
          <w:b/>
        </w:rPr>
        <w:t>要求</w:t>
      </w:r>
    </w:p>
    <w:p>
      <w:pPr>
        <w:tabs>
          <w:tab w:val="left" w:pos="728"/>
        </w:tabs>
        <w:spacing w:line="360" w:lineRule="auto"/>
        <w:ind w:firstLine="480" w:firstLineChars="200"/>
        <w:rPr>
          <w:rFonts w:ascii="Times New Roman"/>
        </w:rPr>
      </w:pPr>
      <w:r>
        <w:rPr>
          <w:rFonts w:ascii="Times New Roman"/>
        </w:rPr>
        <w:t>（1）中标人、广东科学中心应共同组建项目建设小组，总体人员配备方案科学、合理。供应商须明确本项目开发实施队伍的人员架构、数量、技术实力及职责分工，并保证人员的数量、质量和人员的稳定性、连续性。</w:t>
      </w:r>
    </w:p>
    <w:p>
      <w:pPr>
        <w:tabs>
          <w:tab w:val="left" w:pos="728"/>
        </w:tabs>
        <w:spacing w:line="360" w:lineRule="auto"/>
        <w:ind w:firstLine="480" w:firstLineChars="200"/>
        <w:rPr>
          <w:rFonts w:ascii="Times New Roman"/>
        </w:rPr>
      </w:pPr>
      <w:r>
        <w:rPr>
          <w:rFonts w:ascii="Times New Roman"/>
        </w:rPr>
        <w:t>（2）中标人必须提出对项目的建设进行科学严格的管理方案与措施，使项目有系统计划、有序组织、科学指导和有效控制，促进项目全面顺利实施。在实施计划的基础上，方案中应进一步明确和细化每个阶段的工作范围、内容、过程、责任、交付成果等。</w:t>
      </w:r>
    </w:p>
    <w:p>
      <w:pPr>
        <w:tabs>
          <w:tab w:val="left" w:pos="728"/>
        </w:tabs>
        <w:spacing w:line="360" w:lineRule="auto"/>
        <w:ind w:firstLine="480" w:firstLineChars="200"/>
        <w:rPr>
          <w:rFonts w:ascii="Times New Roman"/>
        </w:rPr>
      </w:pPr>
      <w:r>
        <w:rPr>
          <w:rFonts w:ascii="Times New Roman"/>
        </w:rPr>
        <w:t>（3）中标人应对项目全生命周期进行严格、规范的项目管理控制，包括项目范围、风险、进度、质量、变更管理控制。</w:t>
      </w:r>
    </w:p>
    <w:p>
      <w:pPr>
        <w:tabs>
          <w:tab w:val="left" w:pos="728"/>
        </w:tabs>
        <w:spacing w:line="360" w:lineRule="auto"/>
        <w:ind w:firstLine="480" w:firstLineChars="200"/>
        <w:rPr>
          <w:rFonts w:ascii="Times New Roman"/>
        </w:rPr>
      </w:pPr>
      <w:r>
        <w:rPr>
          <w:rFonts w:ascii="Times New Roman"/>
        </w:rPr>
        <w:t>（4）中标人在项目服务完毕后应及时对现场进行修复，如有必要改动现场原有设备、建筑结构的，应提前以书面方式向甲方相关负责人员申报，批准后方可实施。</w:t>
      </w:r>
      <w:bookmarkEnd w:id="2"/>
    </w:p>
    <w:p>
      <w:pPr>
        <w:tabs>
          <w:tab w:val="left" w:pos="728"/>
        </w:tabs>
        <w:spacing w:line="360" w:lineRule="auto"/>
        <w:ind w:firstLine="482" w:firstLineChars="200"/>
        <w:rPr>
          <w:rFonts w:ascii="Times New Roman"/>
          <w:b/>
        </w:rPr>
      </w:pPr>
      <w:r>
        <w:rPr>
          <w:rFonts w:hint="eastAsia" w:ascii="Times New Roman"/>
          <w:b/>
        </w:rPr>
        <w:t>（5）</w:t>
      </w:r>
      <w:r>
        <w:rPr>
          <w:rFonts w:hint="eastAsia" w:ascii="Times New Roman"/>
          <w:szCs w:val="21"/>
          <w:lang w:val="zh-CN"/>
        </w:rPr>
        <w:t>★</w:t>
      </w:r>
      <w:r>
        <w:rPr>
          <w:rFonts w:hint="eastAsia" w:ascii="Times New Roman"/>
          <w:b/>
        </w:rPr>
        <w:t>为了避免分散建设，重复投资，报价单位报价产品须实现兼容接入广东科学中心现有的安防管理平台（现平台为海康威视 iSecure Center综合安防管理平台），并能完整实现平台所载的功能，达到统一管理效果。报价单位须提供与原有综合安防管理平台兼容接入的承诺函，中标后如在合同实施阶段出现报价产品无法满足招标要求或无法兼容现有综合管理平台的，则必须在限定时间内负责调试至完全满足、完全兼容为止，限定时间内仍无法满足或兼容的，采购人将拒绝验收并追究中标人合同违约及违反采购法相关责任。</w:t>
      </w:r>
    </w:p>
    <w:p>
      <w:pPr>
        <w:tabs>
          <w:tab w:val="left" w:pos="728"/>
        </w:tabs>
        <w:spacing w:line="360" w:lineRule="auto"/>
        <w:ind w:firstLine="480" w:firstLineChars="200"/>
        <w:rPr>
          <w:rFonts w:ascii="Times New Roman"/>
        </w:rPr>
      </w:pPr>
      <w:r>
        <w:rPr>
          <w:rFonts w:hint="eastAsia" w:ascii="Times New Roman"/>
        </w:rPr>
        <w:t>（6）为确保供应商能更好的履约，保证货物来源的正当性、供货的及时性及货物的品质和质量符合要求，报价单位需在中标后约定时间内</w:t>
      </w:r>
      <w:r>
        <w:rPr>
          <w:rFonts w:hint="eastAsia" w:hAnsi="宋体" w:cs="黑体"/>
        </w:rPr>
        <w:t>提供设备制造商对本项目开具的供货</w:t>
      </w:r>
      <w:r>
        <w:rPr>
          <w:rFonts w:hint="eastAsia" w:ascii="Times New Roman"/>
        </w:rPr>
        <w:t>承诺函</w:t>
      </w:r>
      <w:bookmarkStart w:id="15" w:name="_GoBack"/>
      <w:bookmarkEnd w:id="15"/>
      <w:r>
        <w:rPr>
          <w:rFonts w:hint="eastAsia" w:ascii="Times New Roman"/>
          <w:b/>
        </w:rPr>
        <w:t>。</w:t>
      </w:r>
    </w:p>
    <w:p>
      <w:pPr>
        <w:tabs>
          <w:tab w:val="left" w:pos="728"/>
        </w:tabs>
        <w:spacing w:line="360" w:lineRule="auto"/>
        <w:ind w:firstLine="480" w:firstLineChars="200"/>
        <w:rPr>
          <w:rFonts w:ascii="Times New Roman"/>
        </w:rPr>
      </w:pPr>
      <w:r>
        <w:rPr>
          <w:rFonts w:hint="eastAsia" w:ascii="Times New Roman"/>
        </w:rPr>
        <w:t>（7）免费质保期，自通过验收交付之日起计不少于12个月，主要设备要求提供原厂保修服务承诺函</w:t>
      </w:r>
      <w:r>
        <w:rPr>
          <w:rFonts w:hint="eastAsia" w:ascii="Times New Roman"/>
          <w:b/>
        </w:rPr>
        <w:t>（加盖厂商的公章或专用章）</w:t>
      </w:r>
      <w:r>
        <w:rPr>
          <w:rFonts w:hint="eastAsia" w:ascii="Times New Roman"/>
        </w:rPr>
        <w:t>。</w:t>
      </w:r>
    </w:p>
    <w:sectPr>
      <w:pgSz w:w="11907" w:h="16840"/>
      <w:pgMar w:top="1304" w:right="1843" w:bottom="1247"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05617C49"/>
    <w:multiLevelType w:val="multilevel"/>
    <w:tmpl w:val="05617C49"/>
    <w:lvl w:ilvl="0" w:tentative="0">
      <w:start w:val="1"/>
      <w:numFmt w:val="decimal"/>
      <w:pStyle w:val="38"/>
      <w:suff w:val="space"/>
      <w:lvlText w:val="%1."/>
      <w:lvlJc w:val="left"/>
      <w:pPr>
        <w:ind w:left="0" w:firstLine="0"/>
      </w:pPr>
      <w:rPr>
        <w:rFonts w:hint="default"/>
      </w:rPr>
    </w:lvl>
    <w:lvl w:ilvl="1" w:tentative="0">
      <w:start w:val="1"/>
      <w:numFmt w:val="decimal"/>
      <w:pStyle w:val="39"/>
      <w:isLgl/>
      <w:suff w:val="space"/>
      <w:lvlText w:val="%1.%2."/>
      <w:lvlJc w:val="left"/>
      <w:pPr>
        <w:ind w:left="0" w:firstLine="0"/>
      </w:pPr>
      <w:rPr>
        <w:rFonts w:hint="default"/>
      </w:rPr>
    </w:lvl>
    <w:lvl w:ilvl="2" w:tentative="0">
      <w:start w:val="1"/>
      <w:numFmt w:val="decimal"/>
      <w:pStyle w:val="40"/>
      <w:isLgl/>
      <w:suff w:val="space"/>
      <w:lvlText w:val="%1.%2.%3."/>
      <w:lvlJc w:val="left"/>
      <w:pPr>
        <w:ind w:left="0" w:firstLine="0"/>
      </w:pPr>
      <w:rPr>
        <w:rFonts w:hint="default"/>
      </w:rPr>
    </w:lvl>
    <w:lvl w:ilvl="3" w:tentative="0">
      <w:start w:val="1"/>
      <w:numFmt w:val="decimal"/>
      <w:pStyle w:val="41"/>
      <w:isLgl/>
      <w:suff w:val="space"/>
      <w:lvlText w:val="%1.%2.%3.%4."/>
      <w:lvlJc w:val="left"/>
      <w:pPr>
        <w:ind w:left="0" w:firstLine="0"/>
      </w:pPr>
      <w:rPr>
        <w:rFonts w:hint="default"/>
      </w:rPr>
    </w:lvl>
    <w:lvl w:ilvl="4" w:tentative="0">
      <w:start w:val="1"/>
      <w:numFmt w:val="decimal"/>
      <w:pStyle w:val="42"/>
      <w:isLgl/>
      <w:suff w:val="space"/>
      <w:lvlText w:val="%1.%2.%3.%4.%5."/>
      <w:lvlJc w:val="left"/>
      <w:pPr>
        <w:ind w:left="0" w:firstLine="0"/>
      </w:pPr>
      <w:rPr>
        <w:rFonts w:hint="default"/>
      </w:rPr>
    </w:lvl>
    <w:lvl w:ilvl="5" w:tentative="0">
      <w:start w:val="1"/>
      <w:numFmt w:val="decimal"/>
      <w:pStyle w:val="43"/>
      <w:isLgl/>
      <w:suff w:val="space"/>
      <w:lvlText w:val="(%6)"/>
      <w:lvlJc w:val="left"/>
      <w:pPr>
        <w:ind w:left="0" w:firstLine="0"/>
      </w:pPr>
      <w:rPr>
        <w:rFonts w:hint="default"/>
      </w:rPr>
    </w:lvl>
    <w:lvl w:ilvl="6" w:tentative="0">
      <w:start w:val="1"/>
      <w:numFmt w:val="decimal"/>
      <w:pStyle w:val="44"/>
      <w:isLgl/>
      <w:suff w:val="space"/>
      <w:lvlText w:val="%7)"/>
      <w:lvlJc w:val="left"/>
      <w:pPr>
        <w:ind w:left="0" w:firstLine="0"/>
      </w:pPr>
      <w:rPr>
        <w:rFonts w:hint="default"/>
      </w:rPr>
    </w:lvl>
    <w:lvl w:ilvl="7" w:tentative="0">
      <w:start w:val="1"/>
      <w:numFmt w:val="upperLetter"/>
      <w:pStyle w:val="45"/>
      <w:suff w:val="space"/>
      <w:lvlText w:val="%8"/>
      <w:lvlJc w:val="left"/>
      <w:pPr>
        <w:ind w:left="0" w:firstLine="0"/>
      </w:pPr>
      <w:rPr>
        <w:rFonts w:hint="eastAsia"/>
      </w:rPr>
    </w:lvl>
    <w:lvl w:ilvl="8" w:tentative="0">
      <w:start w:val="1"/>
      <w:numFmt w:val="lowerLetter"/>
      <w:pStyle w:val="46"/>
      <w:suff w:val="space"/>
      <w:lvlText w:val="%9"/>
      <w:lvlJc w:val="left"/>
      <w:pPr>
        <w:ind w:left="0" w:firstLine="0"/>
      </w:pPr>
      <w:rPr>
        <w:rFonts w:hint="default"/>
      </w:rPr>
    </w:lvl>
  </w:abstractNum>
  <w:abstractNum w:abstractNumId="1">
    <w:nsid w:val="455D4C85"/>
    <w:multiLevelType w:val="multilevel"/>
    <w:tmpl w:val="455D4C85"/>
    <w:lvl w:ilvl="0" w:tentative="0">
      <w:start w:val="1"/>
      <w:numFmt w:val="bullet"/>
      <w:lvlText w:val=""/>
      <w:lvlPicBulletId w:val="0"/>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kYWI0ZDlhNGQ4ZDljZTAyZjEzOWVkY2U0YmMwMzAifQ=="/>
    <w:docVar w:name="KSO_WPS_MARK_KEY" w:val="27b3edf5-41e9-476b-9993-226c27a0e4e9"/>
  </w:docVars>
  <w:rsids>
    <w:rsidRoot w:val="00172A27"/>
    <w:rsid w:val="00003602"/>
    <w:rsid w:val="00004DC1"/>
    <w:rsid w:val="000062B1"/>
    <w:rsid w:val="00006637"/>
    <w:rsid w:val="000067DF"/>
    <w:rsid w:val="00011E88"/>
    <w:rsid w:val="000135DF"/>
    <w:rsid w:val="00015B6D"/>
    <w:rsid w:val="00015DE0"/>
    <w:rsid w:val="00026A91"/>
    <w:rsid w:val="000275BF"/>
    <w:rsid w:val="00032442"/>
    <w:rsid w:val="00036EAB"/>
    <w:rsid w:val="00042BAF"/>
    <w:rsid w:val="00043C7D"/>
    <w:rsid w:val="00043FDA"/>
    <w:rsid w:val="00052A36"/>
    <w:rsid w:val="00056A37"/>
    <w:rsid w:val="000610E2"/>
    <w:rsid w:val="000614EA"/>
    <w:rsid w:val="00062868"/>
    <w:rsid w:val="00063503"/>
    <w:rsid w:val="000703B7"/>
    <w:rsid w:val="000828C6"/>
    <w:rsid w:val="0008389D"/>
    <w:rsid w:val="0008511E"/>
    <w:rsid w:val="00085C1A"/>
    <w:rsid w:val="000874F5"/>
    <w:rsid w:val="00092179"/>
    <w:rsid w:val="00092FF7"/>
    <w:rsid w:val="00094721"/>
    <w:rsid w:val="000A1A5E"/>
    <w:rsid w:val="000A29E6"/>
    <w:rsid w:val="000A372E"/>
    <w:rsid w:val="000A383D"/>
    <w:rsid w:val="000A48A3"/>
    <w:rsid w:val="000B16D5"/>
    <w:rsid w:val="000C07D0"/>
    <w:rsid w:val="000C3AEE"/>
    <w:rsid w:val="000C4626"/>
    <w:rsid w:val="000C7C45"/>
    <w:rsid w:val="000D13A8"/>
    <w:rsid w:val="000D7E1F"/>
    <w:rsid w:val="000E0A51"/>
    <w:rsid w:val="000E2D2E"/>
    <w:rsid w:val="000E42BF"/>
    <w:rsid w:val="000F04DD"/>
    <w:rsid w:val="000F31CD"/>
    <w:rsid w:val="000F6C96"/>
    <w:rsid w:val="00115E60"/>
    <w:rsid w:val="00117A57"/>
    <w:rsid w:val="00120C2F"/>
    <w:rsid w:val="0012398D"/>
    <w:rsid w:val="00126D3A"/>
    <w:rsid w:val="0013551E"/>
    <w:rsid w:val="00137640"/>
    <w:rsid w:val="00137CBB"/>
    <w:rsid w:val="00142AD6"/>
    <w:rsid w:val="001448CA"/>
    <w:rsid w:val="001467E1"/>
    <w:rsid w:val="001477A0"/>
    <w:rsid w:val="00150108"/>
    <w:rsid w:val="001508F7"/>
    <w:rsid w:val="00151275"/>
    <w:rsid w:val="00163149"/>
    <w:rsid w:val="00163B6B"/>
    <w:rsid w:val="001706A9"/>
    <w:rsid w:val="00171047"/>
    <w:rsid w:val="00172A27"/>
    <w:rsid w:val="00172AFD"/>
    <w:rsid w:val="001742B2"/>
    <w:rsid w:val="00175227"/>
    <w:rsid w:val="00181514"/>
    <w:rsid w:val="00181EAD"/>
    <w:rsid w:val="00183D32"/>
    <w:rsid w:val="0018485F"/>
    <w:rsid w:val="00184FF0"/>
    <w:rsid w:val="0019006A"/>
    <w:rsid w:val="00190CD7"/>
    <w:rsid w:val="00193248"/>
    <w:rsid w:val="001944E6"/>
    <w:rsid w:val="001946A3"/>
    <w:rsid w:val="0019750A"/>
    <w:rsid w:val="001A0F03"/>
    <w:rsid w:val="001A1F3D"/>
    <w:rsid w:val="001A607C"/>
    <w:rsid w:val="001B2A59"/>
    <w:rsid w:val="001B431C"/>
    <w:rsid w:val="001B675C"/>
    <w:rsid w:val="001B7650"/>
    <w:rsid w:val="001B7BAE"/>
    <w:rsid w:val="001C01D6"/>
    <w:rsid w:val="001C37DD"/>
    <w:rsid w:val="001C6EE6"/>
    <w:rsid w:val="001D524D"/>
    <w:rsid w:val="001D5444"/>
    <w:rsid w:val="001D5BE8"/>
    <w:rsid w:val="001D6A94"/>
    <w:rsid w:val="001D7CB7"/>
    <w:rsid w:val="001E1D7A"/>
    <w:rsid w:val="001E6CD7"/>
    <w:rsid w:val="001E6F53"/>
    <w:rsid w:val="001F33F7"/>
    <w:rsid w:val="001F3743"/>
    <w:rsid w:val="001F5BE5"/>
    <w:rsid w:val="00202B60"/>
    <w:rsid w:val="0020789D"/>
    <w:rsid w:val="00210A0E"/>
    <w:rsid w:val="002129B0"/>
    <w:rsid w:val="00215280"/>
    <w:rsid w:val="00217640"/>
    <w:rsid w:val="00220665"/>
    <w:rsid w:val="00221DA0"/>
    <w:rsid w:val="00222E0F"/>
    <w:rsid w:val="002324B6"/>
    <w:rsid w:val="002351FD"/>
    <w:rsid w:val="00235933"/>
    <w:rsid w:val="00236AE2"/>
    <w:rsid w:val="002378A1"/>
    <w:rsid w:val="00240335"/>
    <w:rsid w:val="00240A72"/>
    <w:rsid w:val="002410CA"/>
    <w:rsid w:val="0024174A"/>
    <w:rsid w:val="00243F8E"/>
    <w:rsid w:val="002508A9"/>
    <w:rsid w:val="002513C2"/>
    <w:rsid w:val="0025259D"/>
    <w:rsid w:val="00253030"/>
    <w:rsid w:val="002559BE"/>
    <w:rsid w:val="00256916"/>
    <w:rsid w:val="0026269E"/>
    <w:rsid w:val="00262F22"/>
    <w:rsid w:val="00263A3B"/>
    <w:rsid w:val="002656FA"/>
    <w:rsid w:val="0026653C"/>
    <w:rsid w:val="00274DA8"/>
    <w:rsid w:val="00275493"/>
    <w:rsid w:val="0027699C"/>
    <w:rsid w:val="00276F08"/>
    <w:rsid w:val="00280A57"/>
    <w:rsid w:val="00282709"/>
    <w:rsid w:val="0028372A"/>
    <w:rsid w:val="00287D70"/>
    <w:rsid w:val="002900FD"/>
    <w:rsid w:val="0029039B"/>
    <w:rsid w:val="002904D2"/>
    <w:rsid w:val="00292FC0"/>
    <w:rsid w:val="00296CFF"/>
    <w:rsid w:val="002A0660"/>
    <w:rsid w:val="002A0740"/>
    <w:rsid w:val="002A1953"/>
    <w:rsid w:val="002A1B93"/>
    <w:rsid w:val="002A2A37"/>
    <w:rsid w:val="002A43C8"/>
    <w:rsid w:val="002B017E"/>
    <w:rsid w:val="002B0968"/>
    <w:rsid w:val="002B2021"/>
    <w:rsid w:val="002B21AA"/>
    <w:rsid w:val="002B2891"/>
    <w:rsid w:val="002B604B"/>
    <w:rsid w:val="002C4428"/>
    <w:rsid w:val="002C7A52"/>
    <w:rsid w:val="002D0315"/>
    <w:rsid w:val="002D459D"/>
    <w:rsid w:val="002D479C"/>
    <w:rsid w:val="002D623F"/>
    <w:rsid w:val="002E1FE5"/>
    <w:rsid w:val="002E28C4"/>
    <w:rsid w:val="002E4CA9"/>
    <w:rsid w:val="002E75CF"/>
    <w:rsid w:val="002E7B15"/>
    <w:rsid w:val="002F1A67"/>
    <w:rsid w:val="00301662"/>
    <w:rsid w:val="003031E2"/>
    <w:rsid w:val="003047BA"/>
    <w:rsid w:val="00304F75"/>
    <w:rsid w:val="0030727A"/>
    <w:rsid w:val="00316240"/>
    <w:rsid w:val="00320E80"/>
    <w:rsid w:val="00322EA6"/>
    <w:rsid w:val="00323558"/>
    <w:rsid w:val="00325AEB"/>
    <w:rsid w:val="0032723F"/>
    <w:rsid w:val="00330A1B"/>
    <w:rsid w:val="00332D51"/>
    <w:rsid w:val="00333649"/>
    <w:rsid w:val="00340744"/>
    <w:rsid w:val="003409E5"/>
    <w:rsid w:val="0034228C"/>
    <w:rsid w:val="00346FF2"/>
    <w:rsid w:val="0034749A"/>
    <w:rsid w:val="0035201E"/>
    <w:rsid w:val="003566D6"/>
    <w:rsid w:val="00367FD8"/>
    <w:rsid w:val="00374395"/>
    <w:rsid w:val="003757D5"/>
    <w:rsid w:val="00377BA5"/>
    <w:rsid w:val="00384A23"/>
    <w:rsid w:val="0038682E"/>
    <w:rsid w:val="00397B57"/>
    <w:rsid w:val="00397CCA"/>
    <w:rsid w:val="00397D16"/>
    <w:rsid w:val="003A2274"/>
    <w:rsid w:val="003A39EA"/>
    <w:rsid w:val="003A3E62"/>
    <w:rsid w:val="003B1A07"/>
    <w:rsid w:val="003B31ED"/>
    <w:rsid w:val="003B39B0"/>
    <w:rsid w:val="003B50DB"/>
    <w:rsid w:val="003B63AC"/>
    <w:rsid w:val="003C3589"/>
    <w:rsid w:val="003C4826"/>
    <w:rsid w:val="003C48A6"/>
    <w:rsid w:val="003C7EFB"/>
    <w:rsid w:val="003D2A89"/>
    <w:rsid w:val="003D2C01"/>
    <w:rsid w:val="003D37BA"/>
    <w:rsid w:val="003D4327"/>
    <w:rsid w:val="003D5C9C"/>
    <w:rsid w:val="003D77FD"/>
    <w:rsid w:val="003E08C7"/>
    <w:rsid w:val="003E3C9B"/>
    <w:rsid w:val="003E7ED5"/>
    <w:rsid w:val="003E7F5D"/>
    <w:rsid w:val="003F1DC1"/>
    <w:rsid w:val="003F1E68"/>
    <w:rsid w:val="003F378F"/>
    <w:rsid w:val="004002B7"/>
    <w:rsid w:val="00401BB1"/>
    <w:rsid w:val="00401BED"/>
    <w:rsid w:val="004029EF"/>
    <w:rsid w:val="0040364C"/>
    <w:rsid w:val="004038B5"/>
    <w:rsid w:val="0040799E"/>
    <w:rsid w:val="00407F25"/>
    <w:rsid w:val="004133E3"/>
    <w:rsid w:val="0042059E"/>
    <w:rsid w:val="0042104F"/>
    <w:rsid w:val="00422232"/>
    <w:rsid w:val="0042531B"/>
    <w:rsid w:val="00430777"/>
    <w:rsid w:val="0043479B"/>
    <w:rsid w:val="00436840"/>
    <w:rsid w:val="00436CE6"/>
    <w:rsid w:val="00437DEF"/>
    <w:rsid w:val="00440E02"/>
    <w:rsid w:val="004437CD"/>
    <w:rsid w:val="00452450"/>
    <w:rsid w:val="00454698"/>
    <w:rsid w:val="00454E6F"/>
    <w:rsid w:val="00462EB2"/>
    <w:rsid w:val="00465785"/>
    <w:rsid w:val="00467B45"/>
    <w:rsid w:val="00470396"/>
    <w:rsid w:val="0047065F"/>
    <w:rsid w:val="004721E0"/>
    <w:rsid w:val="004723A6"/>
    <w:rsid w:val="00476F97"/>
    <w:rsid w:val="00481809"/>
    <w:rsid w:val="004878E4"/>
    <w:rsid w:val="00491BF4"/>
    <w:rsid w:val="004923F0"/>
    <w:rsid w:val="004928CC"/>
    <w:rsid w:val="004937F9"/>
    <w:rsid w:val="004A1A06"/>
    <w:rsid w:val="004A4565"/>
    <w:rsid w:val="004B0A2A"/>
    <w:rsid w:val="004B704C"/>
    <w:rsid w:val="004C2EAE"/>
    <w:rsid w:val="004C34D7"/>
    <w:rsid w:val="004C4AF0"/>
    <w:rsid w:val="004C6182"/>
    <w:rsid w:val="004C6188"/>
    <w:rsid w:val="004C7D40"/>
    <w:rsid w:val="004E3707"/>
    <w:rsid w:val="004F07FE"/>
    <w:rsid w:val="004F0E0E"/>
    <w:rsid w:val="004F4482"/>
    <w:rsid w:val="004F4895"/>
    <w:rsid w:val="004F53C8"/>
    <w:rsid w:val="004F5921"/>
    <w:rsid w:val="004F635A"/>
    <w:rsid w:val="005002C4"/>
    <w:rsid w:val="00503664"/>
    <w:rsid w:val="00506270"/>
    <w:rsid w:val="005127A7"/>
    <w:rsid w:val="005146F2"/>
    <w:rsid w:val="00520CF4"/>
    <w:rsid w:val="005217DB"/>
    <w:rsid w:val="00521A7A"/>
    <w:rsid w:val="00521BDE"/>
    <w:rsid w:val="00522136"/>
    <w:rsid w:val="00523A67"/>
    <w:rsid w:val="00523B3F"/>
    <w:rsid w:val="00530C9F"/>
    <w:rsid w:val="00530CF0"/>
    <w:rsid w:val="005318CB"/>
    <w:rsid w:val="005332D5"/>
    <w:rsid w:val="00543A71"/>
    <w:rsid w:val="00547E1D"/>
    <w:rsid w:val="00551DBE"/>
    <w:rsid w:val="0055269D"/>
    <w:rsid w:val="00554A1E"/>
    <w:rsid w:val="00555E2E"/>
    <w:rsid w:val="00556009"/>
    <w:rsid w:val="005562BC"/>
    <w:rsid w:val="00557033"/>
    <w:rsid w:val="00557DE8"/>
    <w:rsid w:val="00565F8A"/>
    <w:rsid w:val="00570F59"/>
    <w:rsid w:val="005752B2"/>
    <w:rsid w:val="005779DF"/>
    <w:rsid w:val="005831B6"/>
    <w:rsid w:val="0058656D"/>
    <w:rsid w:val="00586D7A"/>
    <w:rsid w:val="005903D3"/>
    <w:rsid w:val="005921D7"/>
    <w:rsid w:val="00594C46"/>
    <w:rsid w:val="005963A6"/>
    <w:rsid w:val="00596B8A"/>
    <w:rsid w:val="00597DBE"/>
    <w:rsid w:val="005A2755"/>
    <w:rsid w:val="005A4171"/>
    <w:rsid w:val="005A52E1"/>
    <w:rsid w:val="005A7698"/>
    <w:rsid w:val="005B1CDC"/>
    <w:rsid w:val="005B23FC"/>
    <w:rsid w:val="005B2C68"/>
    <w:rsid w:val="005B2F53"/>
    <w:rsid w:val="005B3274"/>
    <w:rsid w:val="005B4120"/>
    <w:rsid w:val="005B4960"/>
    <w:rsid w:val="005B5EC4"/>
    <w:rsid w:val="005C5515"/>
    <w:rsid w:val="005C601C"/>
    <w:rsid w:val="005D0BBA"/>
    <w:rsid w:val="005D139F"/>
    <w:rsid w:val="005D773E"/>
    <w:rsid w:val="005E0AA2"/>
    <w:rsid w:val="005E4ACC"/>
    <w:rsid w:val="005F08C0"/>
    <w:rsid w:val="005F4CB0"/>
    <w:rsid w:val="00602513"/>
    <w:rsid w:val="0060275A"/>
    <w:rsid w:val="006029AF"/>
    <w:rsid w:val="00602E78"/>
    <w:rsid w:val="00603F8C"/>
    <w:rsid w:val="00604BCC"/>
    <w:rsid w:val="00607122"/>
    <w:rsid w:val="0060739E"/>
    <w:rsid w:val="00611C50"/>
    <w:rsid w:val="006125F3"/>
    <w:rsid w:val="0061346B"/>
    <w:rsid w:val="00613A7A"/>
    <w:rsid w:val="00614DD2"/>
    <w:rsid w:val="00620358"/>
    <w:rsid w:val="006223FD"/>
    <w:rsid w:val="00623EED"/>
    <w:rsid w:val="00624C3B"/>
    <w:rsid w:val="00625C0B"/>
    <w:rsid w:val="00626331"/>
    <w:rsid w:val="0063618D"/>
    <w:rsid w:val="00646F6D"/>
    <w:rsid w:val="006472D1"/>
    <w:rsid w:val="006510E4"/>
    <w:rsid w:val="00661078"/>
    <w:rsid w:val="006649CA"/>
    <w:rsid w:val="00665A1F"/>
    <w:rsid w:val="00674E80"/>
    <w:rsid w:val="0068081E"/>
    <w:rsid w:val="00681C43"/>
    <w:rsid w:val="00683C26"/>
    <w:rsid w:val="00686090"/>
    <w:rsid w:val="00692613"/>
    <w:rsid w:val="006A2A53"/>
    <w:rsid w:val="006A5563"/>
    <w:rsid w:val="006B0EBD"/>
    <w:rsid w:val="006B3D0A"/>
    <w:rsid w:val="006B6650"/>
    <w:rsid w:val="006B6DBF"/>
    <w:rsid w:val="006B7A1D"/>
    <w:rsid w:val="006C069A"/>
    <w:rsid w:val="006C1329"/>
    <w:rsid w:val="006C161D"/>
    <w:rsid w:val="006D1822"/>
    <w:rsid w:val="006D23A1"/>
    <w:rsid w:val="006E3AAA"/>
    <w:rsid w:val="006F2B6C"/>
    <w:rsid w:val="006F53FE"/>
    <w:rsid w:val="00700FE8"/>
    <w:rsid w:val="00707435"/>
    <w:rsid w:val="0070789E"/>
    <w:rsid w:val="007118CC"/>
    <w:rsid w:val="007239B7"/>
    <w:rsid w:val="0072793A"/>
    <w:rsid w:val="007306DF"/>
    <w:rsid w:val="007312C1"/>
    <w:rsid w:val="007423E9"/>
    <w:rsid w:val="007427AD"/>
    <w:rsid w:val="007471D7"/>
    <w:rsid w:val="00750862"/>
    <w:rsid w:val="00754327"/>
    <w:rsid w:val="0075520F"/>
    <w:rsid w:val="0075533D"/>
    <w:rsid w:val="00755B72"/>
    <w:rsid w:val="00760605"/>
    <w:rsid w:val="0076239E"/>
    <w:rsid w:val="00762486"/>
    <w:rsid w:val="00763495"/>
    <w:rsid w:val="00767FC5"/>
    <w:rsid w:val="007711AB"/>
    <w:rsid w:val="0078194F"/>
    <w:rsid w:val="00782C6C"/>
    <w:rsid w:val="00782DAB"/>
    <w:rsid w:val="007879DF"/>
    <w:rsid w:val="0079102B"/>
    <w:rsid w:val="007A6450"/>
    <w:rsid w:val="007A7B1A"/>
    <w:rsid w:val="007B1459"/>
    <w:rsid w:val="007B331F"/>
    <w:rsid w:val="007B7D47"/>
    <w:rsid w:val="007C5DCB"/>
    <w:rsid w:val="007D23FD"/>
    <w:rsid w:val="007D6FF4"/>
    <w:rsid w:val="007E0ABA"/>
    <w:rsid w:val="007E2741"/>
    <w:rsid w:val="007E5975"/>
    <w:rsid w:val="007E5B2D"/>
    <w:rsid w:val="007E614D"/>
    <w:rsid w:val="007F3293"/>
    <w:rsid w:val="007F4169"/>
    <w:rsid w:val="007F7BF2"/>
    <w:rsid w:val="0080273E"/>
    <w:rsid w:val="008035C0"/>
    <w:rsid w:val="008039DD"/>
    <w:rsid w:val="00805807"/>
    <w:rsid w:val="008070E1"/>
    <w:rsid w:val="00811203"/>
    <w:rsid w:val="00811268"/>
    <w:rsid w:val="00811B8A"/>
    <w:rsid w:val="00820977"/>
    <w:rsid w:val="00821B2C"/>
    <w:rsid w:val="00821D2F"/>
    <w:rsid w:val="00821FBC"/>
    <w:rsid w:val="00822360"/>
    <w:rsid w:val="00824D9E"/>
    <w:rsid w:val="008337C2"/>
    <w:rsid w:val="008419C8"/>
    <w:rsid w:val="00842F02"/>
    <w:rsid w:val="00843673"/>
    <w:rsid w:val="00843918"/>
    <w:rsid w:val="00844E7C"/>
    <w:rsid w:val="00845595"/>
    <w:rsid w:val="0084700D"/>
    <w:rsid w:val="008501FB"/>
    <w:rsid w:val="008657E6"/>
    <w:rsid w:val="00867608"/>
    <w:rsid w:val="00875775"/>
    <w:rsid w:val="00880E2A"/>
    <w:rsid w:val="00881454"/>
    <w:rsid w:val="00881EEF"/>
    <w:rsid w:val="00883C04"/>
    <w:rsid w:val="00885356"/>
    <w:rsid w:val="008855CC"/>
    <w:rsid w:val="00891DF9"/>
    <w:rsid w:val="0089492E"/>
    <w:rsid w:val="008A265F"/>
    <w:rsid w:val="008A4AE1"/>
    <w:rsid w:val="008B0767"/>
    <w:rsid w:val="008B1541"/>
    <w:rsid w:val="008B4D98"/>
    <w:rsid w:val="008B53ED"/>
    <w:rsid w:val="008C22E5"/>
    <w:rsid w:val="008C2762"/>
    <w:rsid w:val="008C5532"/>
    <w:rsid w:val="008C6897"/>
    <w:rsid w:val="008C7938"/>
    <w:rsid w:val="008D1B74"/>
    <w:rsid w:val="008D3948"/>
    <w:rsid w:val="008D3D89"/>
    <w:rsid w:val="008D579F"/>
    <w:rsid w:val="008D6EB0"/>
    <w:rsid w:val="008D7B22"/>
    <w:rsid w:val="008E19C6"/>
    <w:rsid w:val="008E2FC2"/>
    <w:rsid w:val="008E560C"/>
    <w:rsid w:val="008E6252"/>
    <w:rsid w:val="008E7A15"/>
    <w:rsid w:val="008F50C4"/>
    <w:rsid w:val="008F6094"/>
    <w:rsid w:val="008F68E7"/>
    <w:rsid w:val="009063CA"/>
    <w:rsid w:val="00912E13"/>
    <w:rsid w:val="00920C02"/>
    <w:rsid w:val="0092228E"/>
    <w:rsid w:val="00924F70"/>
    <w:rsid w:val="00925FAE"/>
    <w:rsid w:val="00926AB9"/>
    <w:rsid w:val="00927C04"/>
    <w:rsid w:val="00931C30"/>
    <w:rsid w:val="009412A7"/>
    <w:rsid w:val="00941BF4"/>
    <w:rsid w:val="00946FDB"/>
    <w:rsid w:val="00951E0D"/>
    <w:rsid w:val="00954252"/>
    <w:rsid w:val="00960DEB"/>
    <w:rsid w:val="00961D55"/>
    <w:rsid w:val="00967604"/>
    <w:rsid w:val="00972293"/>
    <w:rsid w:val="0097231D"/>
    <w:rsid w:val="009724A9"/>
    <w:rsid w:val="00974497"/>
    <w:rsid w:val="00975682"/>
    <w:rsid w:val="00982064"/>
    <w:rsid w:val="00992FE9"/>
    <w:rsid w:val="009979FC"/>
    <w:rsid w:val="009A11E0"/>
    <w:rsid w:val="009A18D4"/>
    <w:rsid w:val="009A31EF"/>
    <w:rsid w:val="009B248E"/>
    <w:rsid w:val="009B3975"/>
    <w:rsid w:val="009B6DC7"/>
    <w:rsid w:val="009D2D46"/>
    <w:rsid w:val="009D4629"/>
    <w:rsid w:val="009D5AA9"/>
    <w:rsid w:val="009E0166"/>
    <w:rsid w:val="009E49A9"/>
    <w:rsid w:val="009F2DE3"/>
    <w:rsid w:val="009F4686"/>
    <w:rsid w:val="00A03EE1"/>
    <w:rsid w:val="00A0695E"/>
    <w:rsid w:val="00A07C9D"/>
    <w:rsid w:val="00A10861"/>
    <w:rsid w:val="00A10B3A"/>
    <w:rsid w:val="00A13BF0"/>
    <w:rsid w:val="00A15BD7"/>
    <w:rsid w:val="00A1735A"/>
    <w:rsid w:val="00A2030D"/>
    <w:rsid w:val="00A21604"/>
    <w:rsid w:val="00A234A7"/>
    <w:rsid w:val="00A23C66"/>
    <w:rsid w:val="00A248D5"/>
    <w:rsid w:val="00A3164D"/>
    <w:rsid w:val="00A31EF8"/>
    <w:rsid w:val="00A33E27"/>
    <w:rsid w:val="00A340E0"/>
    <w:rsid w:val="00A34ED4"/>
    <w:rsid w:val="00A42DDB"/>
    <w:rsid w:val="00A50AEA"/>
    <w:rsid w:val="00A51A9F"/>
    <w:rsid w:val="00A5226A"/>
    <w:rsid w:val="00A62C98"/>
    <w:rsid w:val="00A63CFF"/>
    <w:rsid w:val="00A64E3A"/>
    <w:rsid w:val="00A64F4B"/>
    <w:rsid w:val="00A670FC"/>
    <w:rsid w:val="00A71E2F"/>
    <w:rsid w:val="00A7359B"/>
    <w:rsid w:val="00A74E08"/>
    <w:rsid w:val="00A763E3"/>
    <w:rsid w:val="00A81581"/>
    <w:rsid w:val="00A82327"/>
    <w:rsid w:val="00A82D65"/>
    <w:rsid w:val="00A8522C"/>
    <w:rsid w:val="00A91357"/>
    <w:rsid w:val="00A913CC"/>
    <w:rsid w:val="00A9148C"/>
    <w:rsid w:val="00A94E4F"/>
    <w:rsid w:val="00A95625"/>
    <w:rsid w:val="00A97891"/>
    <w:rsid w:val="00AA1BB5"/>
    <w:rsid w:val="00AA5E7B"/>
    <w:rsid w:val="00AA6239"/>
    <w:rsid w:val="00AB290D"/>
    <w:rsid w:val="00AB566A"/>
    <w:rsid w:val="00AB5BCC"/>
    <w:rsid w:val="00AB7782"/>
    <w:rsid w:val="00AC0205"/>
    <w:rsid w:val="00AC12E2"/>
    <w:rsid w:val="00AC313B"/>
    <w:rsid w:val="00AC4848"/>
    <w:rsid w:val="00AD05BB"/>
    <w:rsid w:val="00AD1836"/>
    <w:rsid w:val="00AD1B2B"/>
    <w:rsid w:val="00AD2867"/>
    <w:rsid w:val="00AD5349"/>
    <w:rsid w:val="00AE2BCE"/>
    <w:rsid w:val="00AE4B47"/>
    <w:rsid w:val="00AE5BEB"/>
    <w:rsid w:val="00AE65D7"/>
    <w:rsid w:val="00AE6C47"/>
    <w:rsid w:val="00AE6FF1"/>
    <w:rsid w:val="00AF2DA6"/>
    <w:rsid w:val="00AF7BF7"/>
    <w:rsid w:val="00B00AA6"/>
    <w:rsid w:val="00B01F3B"/>
    <w:rsid w:val="00B02E76"/>
    <w:rsid w:val="00B15603"/>
    <w:rsid w:val="00B167A6"/>
    <w:rsid w:val="00B2126F"/>
    <w:rsid w:val="00B21C22"/>
    <w:rsid w:val="00B22E59"/>
    <w:rsid w:val="00B23A69"/>
    <w:rsid w:val="00B24DD0"/>
    <w:rsid w:val="00B2629E"/>
    <w:rsid w:val="00B34D35"/>
    <w:rsid w:val="00B34EC9"/>
    <w:rsid w:val="00B35AE7"/>
    <w:rsid w:val="00B36C9F"/>
    <w:rsid w:val="00B52116"/>
    <w:rsid w:val="00B529C6"/>
    <w:rsid w:val="00B57680"/>
    <w:rsid w:val="00B64A7B"/>
    <w:rsid w:val="00B64D70"/>
    <w:rsid w:val="00B655E4"/>
    <w:rsid w:val="00B65EF7"/>
    <w:rsid w:val="00B661E6"/>
    <w:rsid w:val="00B709D7"/>
    <w:rsid w:val="00B711D8"/>
    <w:rsid w:val="00B71408"/>
    <w:rsid w:val="00B753B4"/>
    <w:rsid w:val="00B7730C"/>
    <w:rsid w:val="00B81B2A"/>
    <w:rsid w:val="00B83EF9"/>
    <w:rsid w:val="00B86299"/>
    <w:rsid w:val="00B91ED6"/>
    <w:rsid w:val="00B92820"/>
    <w:rsid w:val="00B96172"/>
    <w:rsid w:val="00B97A8D"/>
    <w:rsid w:val="00BA05E3"/>
    <w:rsid w:val="00BA6AFE"/>
    <w:rsid w:val="00BA79AD"/>
    <w:rsid w:val="00BB100C"/>
    <w:rsid w:val="00BB207A"/>
    <w:rsid w:val="00BB37B6"/>
    <w:rsid w:val="00BC0B30"/>
    <w:rsid w:val="00BC10CB"/>
    <w:rsid w:val="00BC1E78"/>
    <w:rsid w:val="00BC394B"/>
    <w:rsid w:val="00BC6CE7"/>
    <w:rsid w:val="00BC6E82"/>
    <w:rsid w:val="00BC7139"/>
    <w:rsid w:val="00BC7D49"/>
    <w:rsid w:val="00BD3686"/>
    <w:rsid w:val="00BD47E0"/>
    <w:rsid w:val="00BD48CB"/>
    <w:rsid w:val="00BD4E6A"/>
    <w:rsid w:val="00BD7283"/>
    <w:rsid w:val="00BD732F"/>
    <w:rsid w:val="00BE2EC3"/>
    <w:rsid w:val="00BE54B0"/>
    <w:rsid w:val="00BF5320"/>
    <w:rsid w:val="00C0615B"/>
    <w:rsid w:val="00C06F3E"/>
    <w:rsid w:val="00C105A7"/>
    <w:rsid w:val="00C114C5"/>
    <w:rsid w:val="00C11E4A"/>
    <w:rsid w:val="00C12EDA"/>
    <w:rsid w:val="00C16694"/>
    <w:rsid w:val="00C20718"/>
    <w:rsid w:val="00C22EEE"/>
    <w:rsid w:val="00C249A2"/>
    <w:rsid w:val="00C2591F"/>
    <w:rsid w:val="00C30C71"/>
    <w:rsid w:val="00C30E1C"/>
    <w:rsid w:val="00C32CC0"/>
    <w:rsid w:val="00C400EF"/>
    <w:rsid w:val="00C41FF0"/>
    <w:rsid w:val="00C42D02"/>
    <w:rsid w:val="00C45CF8"/>
    <w:rsid w:val="00C4636D"/>
    <w:rsid w:val="00C54966"/>
    <w:rsid w:val="00C54C65"/>
    <w:rsid w:val="00C55357"/>
    <w:rsid w:val="00C62C53"/>
    <w:rsid w:val="00C63C17"/>
    <w:rsid w:val="00C671A5"/>
    <w:rsid w:val="00C703CE"/>
    <w:rsid w:val="00C71E07"/>
    <w:rsid w:val="00C7696D"/>
    <w:rsid w:val="00C8601D"/>
    <w:rsid w:val="00C87444"/>
    <w:rsid w:val="00C9181A"/>
    <w:rsid w:val="00CA2B50"/>
    <w:rsid w:val="00CA2F1E"/>
    <w:rsid w:val="00CA45BC"/>
    <w:rsid w:val="00CA45E1"/>
    <w:rsid w:val="00CA6271"/>
    <w:rsid w:val="00CA789D"/>
    <w:rsid w:val="00CA7973"/>
    <w:rsid w:val="00CB03E0"/>
    <w:rsid w:val="00CB1424"/>
    <w:rsid w:val="00CB1A48"/>
    <w:rsid w:val="00CB6E4F"/>
    <w:rsid w:val="00CC2119"/>
    <w:rsid w:val="00CC7CAF"/>
    <w:rsid w:val="00CD12E0"/>
    <w:rsid w:val="00CD696A"/>
    <w:rsid w:val="00CD6B17"/>
    <w:rsid w:val="00CD7EFD"/>
    <w:rsid w:val="00CD7F81"/>
    <w:rsid w:val="00CE5CAB"/>
    <w:rsid w:val="00CE75F2"/>
    <w:rsid w:val="00CF0320"/>
    <w:rsid w:val="00D0057A"/>
    <w:rsid w:val="00D00B71"/>
    <w:rsid w:val="00D05ADD"/>
    <w:rsid w:val="00D0614C"/>
    <w:rsid w:val="00D06BDA"/>
    <w:rsid w:val="00D07627"/>
    <w:rsid w:val="00D104CB"/>
    <w:rsid w:val="00D12800"/>
    <w:rsid w:val="00D13864"/>
    <w:rsid w:val="00D157FA"/>
    <w:rsid w:val="00D160B3"/>
    <w:rsid w:val="00D24D7E"/>
    <w:rsid w:val="00D24FD1"/>
    <w:rsid w:val="00D309F8"/>
    <w:rsid w:val="00D30B5D"/>
    <w:rsid w:val="00D3388B"/>
    <w:rsid w:val="00D358BF"/>
    <w:rsid w:val="00D44DE3"/>
    <w:rsid w:val="00D45FA5"/>
    <w:rsid w:val="00D53C61"/>
    <w:rsid w:val="00D54344"/>
    <w:rsid w:val="00D5477C"/>
    <w:rsid w:val="00D639F8"/>
    <w:rsid w:val="00D65B7F"/>
    <w:rsid w:val="00D70966"/>
    <w:rsid w:val="00D73DE8"/>
    <w:rsid w:val="00D74D99"/>
    <w:rsid w:val="00D75F76"/>
    <w:rsid w:val="00D814F7"/>
    <w:rsid w:val="00D82F3D"/>
    <w:rsid w:val="00D86961"/>
    <w:rsid w:val="00D90873"/>
    <w:rsid w:val="00D90A78"/>
    <w:rsid w:val="00DA1D8D"/>
    <w:rsid w:val="00DA3F54"/>
    <w:rsid w:val="00DA49EA"/>
    <w:rsid w:val="00DA7225"/>
    <w:rsid w:val="00DA798D"/>
    <w:rsid w:val="00DA7F60"/>
    <w:rsid w:val="00DB24B4"/>
    <w:rsid w:val="00DB69CF"/>
    <w:rsid w:val="00DB7F63"/>
    <w:rsid w:val="00DC24B9"/>
    <w:rsid w:val="00DD047A"/>
    <w:rsid w:val="00DD5172"/>
    <w:rsid w:val="00DD79A6"/>
    <w:rsid w:val="00DE785B"/>
    <w:rsid w:val="00DF37B3"/>
    <w:rsid w:val="00DF5E2C"/>
    <w:rsid w:val="00DF77D4"/>
    <w:rsid w:val="00E006CA"/>
    <w:rsid w:val="00E00D36"/>
    <w:rsid w:val="00E01D63"/>
    <w:rsid w:val="00E13E3D"/>
    <w:rsid w:val="00E26D8F"/>
    <w:rsid w:val="00E31EE2"/>
    <w:rsid w:val="00E37024"/>
    <w:rsid w:val="00E41321"/>
    <w:rsid w:val="00E46984"/>
    <w:rsid w:val="00E474EF"/>
    <w:rsid w:val="00E50B44"/>
    <w:rsid w:val="00E51A65"/>
    <w:rsid w:val="00E53429"/>
    <w:rsid w:val="00E542BE"/>
    <w:rsid w:val="00E5456F"/>
    <w:rsid w:val="00E5475D"/>
    <w:rsid w:val="00E5541A"/>
    <w:rsid w:val="00E6100B"/>
    <w:rsid w:val="00E61659"/>
    <w:rsid w:val="00E62959"/>
    <w:rsid w:val="00E6450D"/>
    <w:rsid w:val="00E66AE0"/>
    <w:rsid w:val="00E67F88"/>
    <w:rsid w:val="00E745D5"/>
    <w:rsid w:val="00E8070A"/>
    <w:rsid w:val="00E816D6"/>
    <w:rsid w:val="00E82EFC"/>
    <w:rsid w:val="00E916EC"/>
    <w:rsid w:val="00E94D48"/>
    <w:rsid w:val="00E976CB"/>
    <w:rsid w:val="00EA1557"/>
    <w:rsid w:val="00EA553E"/>
    <w:rsid w:val="00EB4150"/>
    <w:rsid w:val="00EB4FD5"/>
    <w:rsid w:val="00EC0CF7"/>
    <w:rsid w:val="00ED3D17"/>
    <w:rsid w:val="00ED43CC"/>
    <w:rsid w:val="00EE28E8"/>
    <w:rsid w:val="00EE4883"/>
    <w:rsid w:val="00EE52E2"/>
    <w:rsid w:val="00EF1121"/>
    <w:rsid w:val="00EF787D"/>
    <w:rsid w:val="00F0594F"/>
    <w:rsid w:val="00F05D7A"/>
    <w:rsid w:val="00F07057"/>
    <w:rsid w:val="00F12C5F"/>
    <w:rsid w:val="00F1753B"/>
    <w:rsid w:val="00F21B39"/>
    <w:rsid w:val="00F21D4C"/>
    <w:rsid w:val="00F255BF"/>
    <w:rsid w:val="00F31F8D"/>
    <w:rsid w:val="00F32A81"/>
    <w:rsid w:val="00F33819"/>
    <w:rsid w:val="00F342E3"/>
    <w:rsid w:val="00F3497B"/>
    <w:rsid w:val="00F41388"/>
    <w:rsid w:val="00F47E56"/>
    <w:rsid w:val="00F52007"/>
    <w:rsid w:val="00F52E33"/>
    <w:rsid w:val="00F53DF5"/>
    <w:rsid w:val="00F55ED0"/>
    <w:rsid w:val="00F60233"/>
    <w:rsid w:val="00F64488"/>
    <w:rsid w:val="00F6481A"/>
    <w:rsid w:val="00F6483B"/>
    <w:rsid w:val="00F72EBD"/>
    <w:rsid w:val="00F750A3"/>
    <w:rsid w:val="00F81979"/>
    <w:rsid w:val="00F819CA"/>
    <w:rsid w:val="00F820D6"/>
    <w:rsid w:val="00F8680B"/>
    <w:rsid w:val="00F878CD"/>
    <w:rsid w:val="00F93424"/>
    <w:rsid w:val="00F93FF1"/>
    <w:rsid w:val="00F944CB"/>
    <w:rsid w:val="00FA0C76"/>
    <w:rsid w:val="00FA2AD3"/>
    <w:rsid w:val="00FA325F"/>
    <w:rsid w:val="00FB2755"/>
    <w:rsid w:val="00FB2890"/>
    <w:rsid w:val="00FB4879"/>
    <w:rsid w:val="00FB575E"/>
    <w:rsid w:val="00FC1FCD"/>
    <w:rsid w:val="00FC52F1"/>
    <w:rsid w:val="00FC587C"/>
    <w:rsid w:val="00FC6C26"/>
    <w:rsid w:val="00FD0580"/>
    <w:rsid w:val="00FD4458"/>
    <w:rsid w:val="00FD503F"/>
    <w:rsid w:val="00FE00B9"/>
    <w:rsid w:val="00FE02C3"/>
    <w:rsid w:val="00FF6A29"/>
    <w:rsid w:val="00FF79BD"/>
    <w:rsid w:val="01386186"/>
    <w:rsid w:val="019D0D21"/>
    <w:rsid w:val="03582757"/>
    <w:rsid w:val="05083A28"/>
    <w:rsid w:val="05947A23"/>
    <w:rsid w:val="06181662"/>
    <w:rsid w:val="065710F9"/>
    <w:rsid w:val="081A4B2B"/>
    <w:rsid w:val="08927B05"/>
    <w:rsid w:val="098F0CA1"/>
    <w:rsid w:val="09906FBF"/>
    <w:rsid w:val="09C718E9"/>
    <w:rsid w:val="0A031126"/>
    <w:rsid w:val="0B1103B5"/>
    <w:rsid w:val="0C0C1CAC"/>
    <w:rsid w:val="0C2544B3"/>
    <w:rsid w:val="0C600E39"/>
    <w:rsid w:val="0D912CEB"/>
    <w:rsid w:val="0E8A2184"/>
    <w:rsid w:val="102A42C1"/>
    <w:rsid w:val="1195086C"/>
    <w:rsid w:val="11EA7FFF"/>
    <w:rsid w:val="12061CCA"/>
    <w:rsid w:val="12A84C29"/>
    <w:rsid w:val="13B60C51"/>
    <w:rsid w:val="14221A39"/>
    <w:rsid w:val="1696650A"/>
    <w:rsid w:val="16E3129A"/>
    <w:rsid w:val="1940337D"/>
    <w:rsid w:val="19F27DA3"/>
    <w:rsid w:val="1A1506B7"/>
    <w:rsid w:val="1A3C6024"/>
    <w:rsid w:val="1AA30AC4"/>
    <w:rsid w:val="1ACD3147"/>
    <w:rsid w:val="1B563139"/>
    <w:rsid w:val="1C2A75AB"/>
    <w:rsid w:val="1DF0311F"/>
    <w:rsid w:val="1E2D7860"/>
    <w:rsid w:val="1E647A2F"/>
    <w:rsid w:val="1F275244"/>
    <w:rsid w:val="1FEE068B"/>
    <w:rsid w:val="20662B81"/>
    <w:rsid w:val="20FC169A"/>
    <w:rsid w:val="217C217E"/>
    <w:rsid w:val="220854FA"/>
    <w:rsid w:val="22206464"/>
    <w:rsid w:val="22B911B7"/>
    <w:rsid w:val="22CD500C"/>
    <w:rsid w:val="22E75B24"/>
    <w:rsid w:val="23256959"/>
    <w:rsid w:val="254611BB"/>
    <w:rsid w:val="25E03024"/>
    <w:rsid w:val="26F74D62"/>
    <w:rsid w:val="27085026"/>
    <w:rsid w:val="27C13DCB"/>
    <w:rsid w:val="280C1780"/>
    <w:rsid w:val="283B715C"/>
    <w:rsid w:val="287A5B2D"/>
    <w:rsid w:val="29242EA8"/>
    <w:rsid w:val="299529EE"/>
    <w:rsid w:val="29EA31D2"/>
    <w:rsid w:val="2ADC1861"/>
    <w:rsid w:val="2B3355C0"/>
    <w:rsid w:val="2B535BB5"/>
    <w:rsid w:val="2BC022A5"/>
    <w:rsid w:val="2BE95A92"/>
    <w:rsid w:val="2BED2276"/>
    <w:rsid w:val="2D3A3DAC"/>
    <w:rsid w:val="2FAB0C73"/>
    <w:rsid w:val="3063475C"/>
    <w:rsid w:val="317344C1"/>
    <w:rsid w:val="318C6DD8"/>
    <w:rsid w:val="3236106F"/>
    <w:rsid w:val="32382FA7"/>
    <w:rsid w:val="325743DF"/>
    <w:rsid w:val="32791949"/>
    <w:rsid w:val="338326B0"/>
    <w:rsid w:val="343B0BB2"/>
    <w:rsid w:val="36071E16"/>
    <w:rsid w:val="38046BB0"/>
    <w:rsid w:val="392E64A4"/>
    <w:rsid w:val="399E6421"/>
    <w:rsid w:val="3A0E6DBD"/>
    <w:rsid w:val="3A260CF9"/>
    <w:rsid w:val="3C0E6655"/>
    <w:rsid w:val="3CA440DA"/>
    <w:rsid w:val="3D1B5FFB"/>
    <w:rsid w:val="3D436C48"/>
    <w:rsid w:val="3E3540E9"/>
    <w:rsid w:val="3E6C4F1B"/>
    <w:rsid w:val="3E772188"/>
    <w:rsid w:val="3F18761E"/>
    <w:rsid w:val="3FFA5D28"/>
    <w:rsid w:val="40D86BD2"/>
    <w:rsid w:val="410C0D0E"/>
    <w:rsid w:val="415C7693"/>
    <w:rsid w:val="41E738AA"/>
    <w:rsid w:val="44132E27"/>
    <w:rsid w:val="450076D0"/>
    <w:rsid w:val="4657458A"/>
    <w:rsid w:val="46CC56D0"/>
    <w:rsid w:val="47C94325"/>
    <w:rsid w:val="47DC7E72"/>
    <w:rsid w:val="48C534B1"/>
    <w:rsid w:val="49AD15F5"/>
    <w:rsid w:val="4A1A3CF1"/>
    <w:rsid w:val="4B1D294C"/>
    <w:rsid w:val="4B255B23"/>
    <w:rsid w:val="4B866976"/>
    <w:rsid w:val="4BB53DC4"/>
    <w:rsid w:val="4C3F0A0E"/>
    <w:rsid w:val="4C6F6D69"/>
    <w:rsid w:val="4D6E227B"/>
    <w:rsid w:val="4D8313A3"/>
    <w:rsid w:val="4DD45315"/>
    <w:rsid w:val="50084E81"/>
    <w:rsid w:val="501D59D3"/>
    <w:rsid w:val="5129519A"/>
    <w:rsid w:val="51A87E2A"/>
    <w:rsid w:val="521D6A70"/>
    <w:rsid w:val="527704B1"/>
    <w:rsid w:val="530C1B2C"/>
    <w:rsid w:val="531570D9"/>
    <w:rsid w:val="54B96D38"/>
    <w:rsid w:val="56CE3548"/>
    <w:rsid w:val="583C3A82"/>
    <w:rsid w:val="5AC95F39"/>
    <w:rsid w:val="5B021273"/>
    <w:rsid w:val="5B051AA4"/>
    <w:rsid w:val="5B363017"/>
    <w:rsid w:val="5B690C85"/>
    <w:rsid w:val="5C3A6DDC"/>
    <w:rsid w:val="5C705642"/>
    <w:rsid w:val="5CB477DE"/>
    <w:rsid w:val="5D924110"/>
    <w:rsid w:val="5DD83C04"/>
    <w:rsid w:val="5DE96705"/>
    <w:rsid w:val="5E540589"/>
    <w:rsid w:val="5EBE4C1F"/>
    <w:rsid w:val="603D43D1"/>
    <w:rsid w:val="60AF26BF"/>
    <w:rsid w:val="61900331"/>
    <w:rsid w:val="61A83624"/>
    <w:rsid w:val="61B30469"/>
    <w:rsid w:val="61CE1A7D"/>
    <w:rsid w:val="62892A28"/>
    <w:rsid w:val="63934603"/>
    <w:rsid w:val="64A97042"/>
    <w:rsid w:val="64AB7435"/>
    <w:rsid w:val="64AC073A"/>
    <w:rsid w:val="658C1EAE"/>
    <w:rsid w:val="661106FE"/>
    <w:rsid w:val="66824748"/>
    <w:rsid w:val="66A845D0"/>
    <w:rsid w:val="66BE668B"/>
    <w:rsid w:val="66BF4555"/>
    <w:rsid w:val="69ED7C14"/>
    <w:rsid w:val="6A185D89"/>
    <w:rsid w:val="6A246185"/>
    <w:rsid w:val="6A6D43CA"/>
    <w:rsid w:val="6B5D6F08"/>
    <w:rsid w:val="6B6039BD"/>
    <w:rsid w:val="6B8146D6"/>
    <w:rsid w:val="6C2267AB"/>
    <w:rsid w:val="6C6D1BAB"/>
    <w:rsid w:val="6DCF4734"/>
    <w:rsid w:val="6DDB0802"/>
    <w:rsid w:val="6EC14FC1"/>
    <w:rsid w:val="6F622885"/>
    <w:rsid w:val="6FDF3939"/>
    <w:rsid w:val="6FDF4BF9"/>
    <w:rsid w:val="70320346"/>
    <w:rsid w:val="709058A9"/>
    <w:rsid w:val="70AE4B6D"/>
    <w:rsid w:val="7118679B"/>
    <w:rsid w:val="72A65757"/>
    <w:rsid w:val="72A91DD7"/>
    <w:rsid w:val="741E776B"/>
    <w:rsid w:val="742D26E8"/>
    <w:rsid w:val="75076D5C"/>
    <w:rsid w:val="7733585A"/>
    <w:rsid w:val="7747397F"/>
    <w:rsid w:val="783E6232"/>
    <w:rsid w:val="7920419B"/>
    <w:rsid w:val="7CA02930"/>
    <w:rsid w:val="7DCE3CC0"/>
    <w:rsid w:val="7E826A9B"/>
    <w:rsid w:val="7EA03F2B"/>
    <w:rsid w:val="7EA96DAB"/>
    <w:rsid w:val="7EE11D20"/>
    <w:rsid w:val="7F7E7F97"/>
    <w:rsid w:val="FF3F9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99"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link w:val="30"/>
    <w:qFormat/>
    <w:uiPriority w:val="0"/>
    <w:pPr>
      <w:keepNext/>
      <w:keepLines/>
      <w:widowControl/>
      <w:autoSpaceDE/>
      <w:autoSpaceDN/>
      <w:spacing w:line="360" w:lineRule="auto"/>
      <w:jc w:val="center"/>
      <w:outlineLvl w:val="0"/>
    </w:pPr>
    <w:rPr>
      <w:rFonts w:ascii="Times New Roman"/>
      <w:b/>
      <w:bCs/>
      <w:kern w:val="44"/>
      <w:sz w:val="36"/>
      <w:szCs w:val="32"/>
      <w:lang w:val="zh-CN"/>
    </w:rPr>
  </w:style>
  <w:style w:type="paragraph" w:styleId="3">
    <w:name w:val="heading 2"/>
    <w:basedOn w:val="1"/>
    <w:next w:val="1"/>
    <w:link w:val="33"/>
    <w:qFormat/>
    <w:uiPriority w:val="0"/>
    <w:pPr>
      <w:keepNext/>
      <w:keepLines/>
      <w:widowControl/>
      <w:autoSpaceDE/>
      <w:autoSpaceDN/>
      <w:spacing w:line="360" w:lineRule="auto"/>
      <w:outlineLvl w:val="1"/>
    </w:pPr>
    <w:rPr>
      <w:rFonts w:ascii="Times New Roman"/>
      <w:b/>
    </w:rPr>
  </w:style>
  <w:style w:type="paragraph" w:styleId="4">
    <w:name w:val="heading 3"/>
    <w:basedOn w:val="1"/>
    <w:next w:val="1"/>
    <w:link w:val="29"/>
    <w:qFormat/>
    <w:uiPriority w:val="0"/>
    <w:pPr>
      <w:keepNext/>
      <w:keepLines/>
      <w:widowControl/>
      <w:autoSpaceDE/>
      <w:autoSpaceDN/>
      <w:spacing w:line="360" w:lineRule="auto"/>
      <w:outlineLvl w:val="2"/>
    </w:pPr>
    <w:rPr>
      <w:rFonts w:ascii="Times New Roman"/>
      <w:b/>
    </w:rPr>
  </w:style>
  <w:style w:type="paragraph" w:styleId="5">
    <w:name w:val="heading 4"/>
    <w:basedOn w:val="1"/>
    <w:next w:val="1"/>
    <w:link w:val="26"/>
    <w:qFormat/>
    <w:uiPriority w:val="0"/>
    <w:pPr>
      <w:keepNext/>
      <w:keepLines/>
      <w:spacing w:line="360" w:lineRule="auto"/>
      <w:outlineLvl w:val="3"/>
    </w:pPr>
    <w:rPr>
      <w:rFonts w:ascii="Arial" w:hAnsi="Arial"/>
      <w:bCs/>
      <w:szCs w:val="28"/>
    </w:rPr>
  </w:style>
  <w:style w:type="paragraph" w:styleId="6">
    <w:name w:val="heading 5"/>
    <w:basedOn w:val="1"/>
    <w:next w:val="1"/>
    <w:link w:val="34"/>
    <w:qFormat/>
    <w:uiPriority w:val="0"/>
    <w:pPr>
      <w:keepNext/>
      <w:keepLines/>
      <w:widowControl/>
      <w:tabs>
        <w:tab w:val="left" w:pos="1008"/>
      </w:tabs>
      <w:autoSpaceDE/>
      <w:autoSpaceDN/>
      <w:adjustRightInd/>
      <w:spacing w:before="280" w:after="290" w:line="376" w:lineRule="auto"/>
      <w:ind w:left="1008" w:hanging="1008"/>
      <w:outlineLvl w:val="4"/>
    </w:pPr>
    <w:rPr>
      <w:rFonts w:ascii="Calibri" w:hAnsi="Calibri"/>
      <w:b/>
      <w:bCs/>
      <w:sz w:val="28"/>
      <w:szCs w:val="28"/>
    </w:rPr>
  </w:style>
  <w:style w:type="paragraph" w:styleId="7">
    <w:name w:val="heading 6"/>
    <w:basedOn w:val="1"/>
    <w:next w:val="1"/>
    <w:link w:val="3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8">
    <w:name w:val="heading 7"/>
    <w:basedOn w:val="1"/>
    <w:next w:val="1"/>
    <w:link w:val="27"/>
    <w:qFormat/>
    <w:uiPriority w:val="0"/>
    <w:pPr>
      <w:keepNext/>
      <w:keepLines/>
      <w:widowControl/>
      <w:tabs>
        <w:tab w:val="left" w:pos="1296"/>
      </w:tabs>
      <w:autoSpaceDE/>
      <w:autoSpaceDN/>
      <w:adjustRightInd/>
      <w:spacing w:before="240" w:after="64" w:line="320" w:lineRule="auto"/>
      <w:ind w:left="1296" w:hanging="1296"/>
      <w:outlineLvl w:val="6"/>
    </w:pPr>
    <w:rPr>
      <w:rFonts w:ascii="Calibri" w:hAnsi="Calibri"/>
      <w:b/>
      <w:bCs/>
    </w:rPr>
  </w:style>
  <w:style w:type="paragraph" w:styleId="9">
    <w:name w:val="heading 8"/>
    <w:basedOn w:val="1"/>
    <w:next w:val="1"/>
    <w:link w:val="32"/>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0">
    <w:name w:val="heading 9"/>
    <w:basedOn w:val="1"/>
    <w:next w:val="1"/>
    <w:link w:val="28"/>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1"/>
    <w:qFormat/>
    <w:uiPriority w:val="0"/>
  </w:style>
  <w:style w:type="paragraph" w:styleId="12">
    <w:name w:val="Balloon Text"/>
    <w:basedOn w:val="1"/>
    <w:link w:val="35"/>
    <w:uiPriority w:val="0"/>
    <w:rPr>
      <w:sz w:val="18"/>
      <w:szCs w:val="18"/>
    </w:rPr>
  </w:style>
  <w:style w:type="paragraph" w:styleId="13">
    <w:name w:val="footer"/>
    <w:basedOn w:val="1"/>
    <w:link w:val="25"/>
    <w:uiPriority w:val="0"/>
    <w:pPr>
      <w:tabs>
        <w:tab w:val="center" w:pos="4153"/>
        <w:tab w:val="right" w:pos="8306"/>
      </w:tabs>
      <w:snapToGrid w:val="0"/>
    </w:pPr>
    <w:rPr>
      <w:sz w:val="18"/>
      <w:szCs w:val="18"/>
    </w:rPr>
  </w:style>
  <w:style w:type="paragraph" w:styleId="14">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semiHidden/>
    <w:unhideWhenUsed/>
    <w:qFormat/>
    <w:uiPriority w:val="99"/>
    <w:pPr>
      <w:widowControl/>
      <w:autoSpaceDE/>
      <w:autoSpaceDN/>
      <w:adjustRightInd/>
      <w:spacing w:before="100" w:beforeAutospacing="1" w:after="100" w:afterAutospacing="1"/>
    </w:pPr>
    <w:rPr>
      <w:rFonts w:hAnsi="宋体" w:cs="宋体"/>
    </w:rPr>
  </w:style>
  <w:style w:type="paragraph" w:styleId="16">
    <w:name w:val="annotation subject"/>
    <w:basedOn w:val="11"/>
    <w:next w:val="11"/>
    <w:link w:val="22"/>
    <w:qFormat/>
    <w:uiPriority w:val="0"/>
    <w:rPr>
      <w:b/>
      <w:bCs/>
    </w:rPr>
  </w:style>
  <w:style w:type="table" w:styleId="18">
    <w:name w:val="Table Grid"/>
    <w:basedOn w:val="1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qFormat/>
    <w:uiPriority w:val="0"/>
    <w:rPr>
      <w:sz w:val="21"/>
      <w:szCs w:val="21"/>
    </w:rPr>
  </w:style>
  <w:style w:type="character" w:customStyle="1" w:styleId="21">
    <w:name w:val="批注文字 字符"/>
    <w:link w:val="11"/>
    <w:qFormat/>
    <w:uiPriority w:val="0"/>
    <w:rPr>
      <w:rFonts w:ascii="宋体" w:hAnsi="Times New Roman"/>
      <w:sz w:val="24"/>
      <w:szCs w:val="24"/>
    </w:rPr>
  </w:style>
  <w:style w:type="character" w:customStyle="1" w:styleId="22">
    <w:name w:val="批注主题 字符"/>
    <w:link w:val="16"/>
    <w:qFormat/>
    <w:uiPriority w:val="0"/>
    <w:rPr>
      <w:rFonts w:ascii="宋体" w:hAnsi="Times New Roman"/>
      <w:b/>
      <w:bCs/>
      <w:sz w:val="24"/>
      <w:szCs w:val="24"/>
    </w:rPr>
  </w:style>
  <w:style w:type="paragraph" w:customStyle="1" w:styleId="23">
    <w:name w:val="列出段落2"/>
    <w:basedOn w:val="1"/>
    <w:qFormat/>
    <w:uiPriority w:val="34"/>
    <w:pPr>
      <w:autoSpaceDE/>
      <w:autoSpaceDN/>
      <w:adjustRightInd/>
      <w:ind w:firstLine="420" w:firstLineChars="200"/>
      <w:jc w:val="both"/>
    </w:pPr>
    <w:rPr>
      <w:rFonts w:ascii="Calibri" w:hAnsi="Calibri" w:eastAsia="方正仿宋_GBK"/>
      <w:kern w:val="2"/>
      <w:sz w:val="32"/>
      <w:szCs w:val="22"/>
    </w:rPr>
  </w:style>
  <w:style w:type="character" w:customStyle="1" w:styleId="24">
    <w:name w:val="页眉 字符"/>
    <w:link w:val="14"/>
    <w:qFormat/>
    <w:uiPriority w:val="0"/>
    <w:rPr>
      <w:rFonts w:ascii="宋体" w:hAnsi="Times New Roman"/>
      <w:sz w:val="18"/>
      <w:szCs w:val="18"/>
    </w:rPr>
  </w:style>
  <w:style w:type="character" w:customStyle="1" w:styleId="25">
    <w:name w:val="页脚 字符"/>
    <w:link w:val="13"/>
    <w:qFormat/>
    <w:uiPriority w:val="0"/>
    <w:rPr>
      <w:rFonts w:ascii="宋体" w:hAnsi="Times New Roman"/>
      <w:sz w:val="18"/>
      <w:szCs w:val="18"/>
    </w:rPr>
  </w:style>
  <w:style w:type="character" w:customStyle="1" w:styleId="26">
    <w:name w:val="标题 4 字符"/>
    <w:link w:val="5"/>
    <w:qFormat/>
    <w:uiPriority w:val="0"/>
    <w:rPr>
      <w:rFonts w:ascii="Arial" w:hAnsi="Arial"/>
      <w:bCs/>
      <w:sz w:val="24"/>
      <w:szCs w:val="28"/>
    </w:rPr>
  </w:style>
  <w:style w:type="character" w:customStyle="1" w:styleId="27">
    <w:name w:val="标题 7 字符"/>
    <w:link w:val="8"/>
    <w:qFormat/>
    <w:uiPriority w:val="0"/>
    <w:rPr>
      <w:b/>
      <w:bCs/>
      <w:sz w:val="24"/>
      <w:szCs w:val="24"/>
    </w:rPr>
  </w:style>
  <w:style w:type="character" w:customStyle="1" w:styleId="28">
    <w:name w:val="标题 9 字符"/>
    <w:link w:val="10"/>
    <w:qFormat/>
    <w:uiPriority w:val="0"/>
    <w:rPr>
      <w:rFonts w:ascii="Arial" w:hAnsi="Arial" w:eastAsia="黑体"/>
      <w:sz w:val="21"/>
      <w:szCs w:val="21"/>
    </w:rPr>
  </w:style>
  <w:style w:type="character" w:customStyle="1" w:styleId="29">
    <w:name w:val="标题 3 字符"/>
    <w:link w:val="4"/>
    <w:qFormat/>
    <w:uiPriority w:val="0"/>
    <w:rPr>
      <w:rFonts w:ascii="Times New Roman" w:hAnsi="Times New Roman"/>
      <w:b/>
      <w:sz w:val="24"/>
      <w:szCs w:val="24"/>
    </w:rPr>
  </w:style>
  <w:style w:type="character" w:customStyle="1" w:styleId="30">
    <w:name w:val="标题 1 字符"/>
    <w:link w:val="2"/>
    <w:qFormat/>
    <w:uiPriority w:val="0"/>
    <w:rPr>
      <w:rFonts w:ascii="Times New Roman" w:hAnsi="Times New Roman"/>
      <w:b/>
      <w:bCs/>
      <w:kern w:val="44"/>
      <w:sz w:val="36"/>
      <w:szCs w:val="32"/>
      <w:lang w:val="zh-CN"/>
    </w:rPr>
  </w:style>
  <w:style w:type="character" w:customStyle="1" w:styleId="31">
    <w:name w:val="标题 6 字符"/>
    <w:link w:val="7"/>
    <w:qFormat/>
    <w:uiPriority w:val="0"/>
    <w:rPr>
      <w:rFonts w:ascii="Arial" w:hAnsi="Arial" w:eastAsia="黑体"/>
      <w:b/>
      <w:bCs/>
      <w:sz w:val="24"/>
      <w:szCs w:val="24"/>
    </w:rPr>
  </w:style>
  <w:style w:type="character" w:customStyle="1" w:styleId="32">
    <w:name w:val="标题 8 字符"/>
    <w:link w:val="9"/>
    <w:qFormat/>
    <w:uiPriority w:val="0"/>
    <w:rPr>
      <w:rFonts w:ascii="Arial" w:hAnsi="Arial" w:eastAsia="黑体"/>
      <w:sz w:val="24"/>
      <w:szCs w:val="24"/>
    </w:rPr>
  </w:style>
  <w:style w:type="character" w:customStyle="1" w:styleId="33">
    <w:name w:val="标题 2 字符"/>
    <w:link w:val="3"/>
    <w:qFormat/>
    <w:uiPriority w:val="0"/>
    <w:rPr>
      <w:rFonts w:ascii="Times New Roman" w:hAnsi="Times New Roman"/>
      <w:b/>
      <w:sz w:val="24"/>
      <w:szCs w:val="24"/>
    </w:rPr>
  </w:style>
  <w:style w:type="character" w:customStyle="1" w:styleId="34">
    <w:name w:val="标题 5 字符"/>
    <w:link w:val="6"/>
    <w:qFormat/>
    <w:uiPriority w:val="0"/>
    <w:rPr>
      <w:b/>
      <w:bCs/>
      <w:sz w:val="28"/>
      <w:szCs w:val="28"/>
    </w:rPr>
  </w:style>
  <w:style w:type="character" w:customStyle="1" w:styleId="35">
    <w:name w:val="批注框文本 字符"/>
    <w:basedOn w:val="19"/>
    <w:link w:val="12"/>
    <w:uiPriority w:val="0"/>
    <w:rPr>
      <w:rFonts w:ascii="宋体" w:hAnsi="Times New Roman"/>
      <w:sz w:val="18"/>
      <w:szCs w:val="18"/>
    </w:rPr>
  </w:style>
  <w:style w:type="paragraph" w:styleId="36">
    <w:name w:val="List Paragraph"/>
    <w:basedOn w:val="1"/>
    <w:uiPriority w:val="1"/>
    <w:pPr>
      <w:ind w:firstLine="420" w:firstLineChars="200"/>
    </w:pPr>
  </w:style>
  <w:style w:type="paragraph" w:customStyle="1" w:styleId="37">
    <w:name w:val="标书正文"/>
    <w:qFormat/>
    <w:uiPriority w:val="0"/>
    <w:pPr>
      <w:spacing w:line="360" w:lineRule="auto"/>
      <w:ind w:firstLine="200" w:firstLineChars="200"/>
    </w:pPr>
    <w:rPr>
      <w:rFonts w:ascii="宋体" w:hAnsi="宋体" w:eastAsia="宋体" w:cstheme="minorBidi"/>
      <w:kern w:val="2"/>
      <w:sz w:val="24"/>
      <w:szCs w:val="21"/>
      <w:lang w:val="en-US" w:eastAsia="zh-CN" w:bidi="ar-SA"/>
    </w:rPr>
  </w:style>
  <w:style w:type="paragraph" w:customStyle="1" w:styleId="38">
    <w:name w:val="标书标题1级"/>
    <w:next w:val="37"/>
    <w:qFormat/>
    <w:uiPriority w:val="0"/>
    <w:pPr>
      <w:numPr>
        <w:ilvl w:val="0"/>
        <w:numId w:val="1"/>
      </w:numPr>
      <w:spacing w:before="240" w:line="360" w:lineRule="auto"/>
      <w:outlineLvl w:val="0"/>
    </w:pPr>
    <w:rPr>
      <w:rFonts w:ascii="宋体" w:hAnsi="宋体" w:eastAsia="宋体" w:cstheme="minorBidi"/>
      <w:b/>
      <w:kern w:val="2"/>
      <w:sz w:val="32"/>
      <w:szCs w:val="21"/>
      <w:lang w:val="en-US" w:eastAsia="zh-CN" w:bidi="ar-SA"/>
    </w:rPr>
  </w:style>
  <w:style w:type="paragraph" w:customStyle="1" w:styleId="39">
    <w:name w:val="标书标题2级"/>
    <w:next w:val="37"/>
    <w:qFormat/>
    <w:uiPriority w:val="0"/>
    <w:pPr>
      <w:numPr>
        <w:ilvl w:val="1"/>
        <w:numId w:val="1"/>
      </w:numPr>
      <w:spacing w:before="240" w:line="360" w:lineRule="auto"/>
      <w:outlineLvl w:val="1"/>
    </w:pPr>
    <w:rPr>
      <w:rFonts w:ascii="宋体" w:hAnsi="宋体" w:eastAsia="宋体" w:cstheme="minorBidi"/>
      <w:b/>
      <w:kern w:val="2"/>
      <w:sz w:val="30"/>
      <w:szCs w:val="21"/>
      <w:lang w:val="en-US" w:eastAsia="zh-CN" w:bidi="ar-SA"/>
    </w:rPr>
  </w:style>
  <w:style w:type="paragraph" w:customStyle="1" w:styleId="40">
    <w:name w:val="标书标题3级"/>
    <w:next w:val="37"/>
    <w:qFormat/>
    <w:uiPriority w:val="0"/>
    <w:pPr>
      <w:numPr>
        <w:ilvl w:val="2"/>
        <w:numId w:val="1"/>
      </w:numPr>
      <w:spacing w:line="360" w:lineRule="auto"/>
      <w:outlineLvl w:val="2"/>
    </w:pPr>
    <w:rPr>
      <w:rFonts w:ascii="宋体" w:hAnsi="宋体" w:eastAsia="宋体" w:cstheme="minorBidi"/>
      <w:b/>
      <w:kern w:val="2"/>
      <w:sz w:val="28"/>
      <w:szCs w:val="21"/>
      <w:lang w:val="en-US" w:eastAsia="zh-CN" w:bidi="ar-SA"/>
    </w:rPr>
  </w:style>
  <w:style w:type="paragraph" w:customStyle="1" w:styleId="41">
    <w:name w:val="标书标题4级"/>
    <w:next w:val="37"/>
    <w:qFormat/>
    <w:uiPriority w:val="0"/>
    <w:pPr>
      <w:numPr>
        <w:ilvl w:val="3"/>
        <w:numId w:val="1"/>
      </w:numPr>
      <w:spacing w:line="360" w:lineRule="auto"/>
      <w:outlineLvl w:val="3"/>
    </w:pPr>
    <w:rPr>
      <w:rFonts w:ascii="宋体" w:hAnsi="宋体" w:eastAsia="宋体" w:cstheme="minorBidi"/>
      <w:b/>
      <w:kern w:val="2"/>
      <w:sz w:val="24"/>
      <w:szCs w:val="24"/>
      <w:lang w:val="en-US" w:eastAsia="zh-CN" w:bidi="ar-SA"/>
    </w:rPr>
  </w:style>
  <w:style w:type="paragraph" w:customStyle="1" w:styleId="42">
    <w:name w:val="标书标题5级"/>
    <w:next w:val="37"/>
    <w:qFormat/>
    <w:uiPriority w:val="0"/>
    <w:pPr>
      <w:numPr>
        <w:ilvl w:val="4"/>
        <w:numId w:val="1"/>
      </w:numPr>
      <w:spacing w:line="360" w:lineRule="auto"/>
      <w:outlineLvl w:val="4"/>
    </w:pPr>
    <w:rPr>
      <w:rFonts w:ascii="宋体" w:hAnsi="宋体" w:eastAsia="宋体" w:cstheme="minorBidi"/>
      <w:b/>
      <w:kern w:val="2"/>
      <w:sz w:val="21"/>
      <w:szCs w:val="21"/>
      <w:lang w:val="en-US" w:eastAsia="zh-CN" w:bidi="ar-SA"/>
    </w:rPr>
  </w:style>
  <w:style w:type="paragraph" w:customStyle="1" w:styleId="43">
    <w:name w:val="标书标题6级"/>
    <w:next w:val="37"/>
    <w:qFormat/>
    <w:uiPriority w:val="0"/>
    <w:pPr>
      <w:numPr>
        <w:ilvl w:val="5"/>
        <w:numId w:val="1"/>
      </w:numPr>
      <w:spacing w:line="360" w:lineRule="auto"/>
    </w:pPr>
    <w:rPr>
      <w:rFonts w:ascii="宋体" w:hAnsi="宋体" w:eastAsia="宋体" w:cstheme="minorBidi"/>
      <w:b/>
      <w:kern w:val="2"/>
      <w:sz w:val="21"/>
      <w:szCs w:val="21"/>
      <w:lang w:val="en-US" w:eastAsia="zh-CN" w:bidi="ar-SA"/>
    </w:rPr>
  </w:style>
  <w:style w:type="paragraph" w:customStyle="1" w:styleId="44">
    <w:name w:val="标书标题7级"/>
    <w:next w:val="37"/>
    <w:qFormat/>
    <w:uiPriority w:val="0"/>
    <w:pPr>
      <w:numPr>
        <w:ilvl w:val="6"/>
        <w:numId w:val="1"/>
      </w:numPr>
      <w:spacing w:line="360" w:lineRule="auto"/>
    </w:pPr>
    <w:rPr>
      <w:rFonts w:ascii="宋体" w:hAnsi="宋体" w:eastAsia="宋体" w:cstheme="minorBidi"/>
      <w:b/>
      <w:kern w:val="2"/>
      <w:sz w:val="21"/>
      <w:szCs w:val="21"/>
      <w:lang w:val="en-US" w:eastAsia="zh-CN" w:bidi="ar-SA"/>
    </w:rPr>
  </w:style>
  <w:style w:type="paragraph" w:customStyle="1" w:styleId="45">
    <w:name w:val="标书标题8级"/>
    <w:next w:val="37"/>
    <w:qFormat/>
    <w:uiPriority w:val="0"/>
    <w:pPr>
      <w:numPr>
        <w:ilvl w:val="7"/>
        <w:numId w:val="1"/>
      </w:numPr>
      <w:spacing w:line="360" w:lineRule="auto"/>
    </w:pPr>
    <w:rPr>
      <w:rFonts w:ascii="宋体" w:hAnsi="宋体" w:eastAsia="宋体" w:cstheme="minorBidi"/>
      <w:b/>
      <w:kern w:val="2"/>
      <w:sz w:val="21"/>
      <w:szCs w:val="21"/>
      <w:lang w:val="en-US" w:eastAsia="zh-CN" w:bidi="ar-SA"/>
    </w:rPr>
  </w:style>
  <w:style w:type="paragraph" w:customStyle="1" w:styleId="46">
    <w:name w:val="标书标题9级"/>
    <w:next w:val="37"/>
    <w:qFormat/>
    <w:uiPriority w:val="0"/>
    <w:pPr>
      <w:numPr>
        <w:ilvl w:val="8"/>
        <w:numId w:val="1"/>
      </w:numPr>
      <w:spacing w:line="360" w:lineRule="auto"/>
    </w:pPr>
    <w:rPr>
      <w:rFonts w:ascii="宋体" w:hAnsi="宋体" w:eastAsia="宋体" w:cstheme="minorBidi"/>
      <w:b/>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5234</Words>
  <Characters>5570</Characters>
  <Lines>41</Lines>
  <Paragraphs>11</Paragraphs>
  <TotalTime>2</TotalTime>
  <ScaleCrop>false</ScaleCrop>
  <LinksUpToDate>false</LinksUpToDate>
  <CharactersWithSpaces>5606</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2023-04-17T01:31:00Z</dcterms:created>
  <dc:creator>帅</dc:creator>
  <cp:lastModifiedBy>李施焜</cp:lastModifiedBy>
  <cp:lastPrinted>2019-03-27T08:23:00Z</cp:lastPrinted>
  <dcterms:modified xsi:type="dcterms:W3CDTF">2023-04-17T06:17:37Z</dcterms:modified>
  <dc:title>公开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_DocHome">
    <vt:r8>912394690</vt:r8>
  </property>
  <property fmtid="{D5CDD505-2E9C-101B-9397-08002B2CF9AE}" pid="4" name="ICV">
    <vt:lpwstr>AA3A479CC86C4850AC216BCCF5FD9508</vt:lpwstr>
  </property>
</Properties>
</file>