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lang w:val="en-US"/>
        </w:rPr>
      </w:pPr>
      <w:bookmarkStart w:id="0" w:name="_Toc230670152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2022年广东科学中心城域网光纤专线业务需求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right="0"/>
        <w:jc w:val="left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一、项目需求简介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广东科学中心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网络出口采用负载均衡模式，现需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租用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2个不同营运商的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城域网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光纤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专线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主要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用于办公网络、公共WIFI及其他活动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项目A：租用2条城域网光纤专线，上下行对等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带宽分别为1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0M和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0M，对应提供固定IP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V4互联网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地址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分别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为32个和8个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其中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sz w:val="30"/>
          <w:szCs w:val="30"/>
        </w:rPr>
        <w:t>0M城域网光纤专线每年度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需要</w:t>
      </w:r>
      <w:r>
        <w:rPr>
          <w:rFonts w:hint="eastAsia" w:ascii="宋体" w:hAnsi="宋体" w:eastAsia="宋体" w:cs="宋体"/>
          <w:sz w:val="30"/>
          <w:szCs w:val="30"/>
        </w:rPr>
        <w:t>30天免费提速到200M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的</w:t>
      </w:r>
      <w:r>
        <w:rPr>
          <w:rFonts w:hint="eastAsia" w:ascii="宋体" w:hAnsi="宋体" w:eastAsia="宋体" w:cs="宋体"/>
          <w:sz w:val="30"/>
          <w:szCs w:val="30"/>
        </w:rPr>
        <w:t>特殊保障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此项须保持现有业务在用的IP地址不变。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项目B:租用1条城域网光纤专线，带宽100M，提供一段/64位IPV6地址。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left="0" w:right="0" w:firstLine="640"/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（注：因网络出口为负载均衡模式，项目A和项目B不能为相同的营运商。）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二、项目采购范围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城域网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光纤专线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租用服务，接入调试及维护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使用期限均为一年。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三、资格条件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440" w:lineRule="atLeast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具有独立承担民事责任能力的注册法人；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440" w:lineRule="atLeast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获得相应的授权并具有完成项目实施的能力；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440" w:lineRule="atLeast"/>
        <w:ind w:left="425" w:leftChars="0" w:right="0" w:hanging="425" w:firstLineChars="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具有基础电信业务经营许可。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8C3D4"/>
    <w:multiLevelType w:val="singleLevel"/>
    <w:tmpl w:val="BA58C3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76544"/>
    <w:rsid w:val="30E71AF1"/>
    <w:rsid w:val="3F6B4318"/>
    <w:rsid w:val="602300B1"/>
    <w:rsid w:val="66A819F3"/>
    <w:rsid w:val="743D403D"/>
    <w:rsid w:val="75976544"/>
    <w:rsid w:val="7F197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2020-05-22T02:27:00Z</dcterms:created>
  <dc:creator>邓凯麟</dc:creator>
  <cp:lastModifiedBy>邓凯麟</cp:lastModifiedBy>
  <dcterms:modified xsi:type="dcterms:W3CDTF">2022-05-07T07:31:22Z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78A045DF60704F698442ACA41E86EB1B</vt:lpwstr>
  </property>
</Properties>
</file>