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0" w:firstLineChars="0"/>
        <w:rPr>
          <w:sz w:val="32"/>
          <w:szCs w:val="32"/>
        </w:rPr>
      </w:pPr>
      <w:r>
        <w:rPr>
          <w:rFonts w:hint="eastAsia" w:cs="宋体"/>
          <w:sz w:val="32"/>
          <w:szCs w:val="32"/>
          <w:lang w:val="en-US" w:eastAsia="zh-CN"/>
        </w:rPr>
        <w:t>2022-2025年蚁类防治服务项目</w:t>
      </w:r>
      <w:r>
        <w:rPr>
          <w:rFonts w:hint="eastAsia" w:cs="宋体"/>
          <w:sz w:val="32"/>
          <w:szCs w:val="32"/>
        </w:rPr>
        <w:t>用户</w:t>
      </w:r>
      <w:r>
        <w:rPr>
          <w:rFonts w:hint="eastAsia"/>
          <w:sz w:val="32"/>
          <w:szCs w:val="32"/>
        </w:rPr>
        <w:t>需求书</w:t>
      </w:r>
    </w:p>
    <w:p>
      <w:pPr>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注：“用户需求书”所述内容和条款如本文未有特别声明均作为实质性响应内容（</w:t>
      </w:r>
      <w:r>
        <w:rPr>
          <w:rFonts w:hint="eastAsia" w:hAnsi="宋体"/>
          <w:b/>
          <w:bCs/>
          <w:color w:val="000000" w:themeColor="text1"/>
          <w:sz w:val="21"/>
          <w:szCs w:val="21"/>
          <w14:textFill>
            <w14:solidFill>
              <w14:schemeClr w14:val="tx1"/>
            </w14:solidFill>
          </w14:textFill>
        </w:rPr>
        <w:t>即视为标注★号条款</w:t>
      </w:r>
      <w:r>
        <w:rPr>
          <w:rFonts w:hint="eastAsia"/>
          <w:b/>
          <w:bCs/>
          <w:color w:val="000000" w:themeColor="text1"/>
          <w:sz w:val="21"/>
          <w:szCs w:val="21"/>
          <w14:textFill>
            <w14:solidFill>
              <w14:schemeClr w14:val="tx1"/>
            </w14:solidFill>
          </w14:textFill>
        </w:rPr>
        <w:t>），中标人必须响应满足或实质性优于，否则，未实质性响应磋商文件的响应文件作无效响应处理。</w:t>
      </w:r>
    </w:p>
    <w:p>
      <w:pPr>
        <w:pStyle w:val="2"/>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 xml:space="preserve">项目概况 </w:t>
      </w:r>
    </w:p>
    <w:p>
      <w:pPr>
        <w:ind w:firstLine="420"/>
        <w:rPr>
          <w:color w:val="000000" w:themeColor="text1"/>
          <w:sz w:val="21"/>
          <w:szCs w:val="21"/>
          <w14:textFill>
            <w14:solidFill>
              <w14:schemeClr w14:val="tx1"/>
            </w14:solidFill>
          </w14:textFill>
        </w:rPr>
      </w:pPr>
      <w:r>
        <w:rPr>
          <w:rFonts w:hint="eastAsia" w:cs="楷体"/>
          <w:color w:val="000000" w:themeColor="text1"/>
          <w:sz w:val="21"/>
          <w:szCs w:val="21"/>
          <w14:textFill>
            <w14:solidFill>
              <w14:schemeClr w14:val="tx1"/>
            </w14:solidFill>
          </w14:textFill>
        </w:rPr>
        <w:t>1、项目名称：</w:t>
      </w:r>
      <w:r>
        <w:rPr>
          <w:rFonts w:hint="eastAsia"/>
          <w:color w:val="000000" w:themeColor="text1"/>
          <w:sz w:val="21"/>
          <w:szCs w:val="21"/>
          <w14:textFill>
            <w14:solidFill>
              <w14:schemeClr w14:val="tx1"/>
            </w14:solidFill>
          </w14:textFill>
        </w:rPr>
        <w:t>广东</w:t>
      </w:r>
      <w:r>
        <w:rPr>
          <w:color w:val="000000" w:themeColor="text1"/>
          <w:sz w:val="21"/>
          <w:szCs w:val="21"/>
          <w14:textFill>
            <w14:solidFill>
              <w14:schemeClr w14:val="tx1"/>
            </w14:solidFill>
          </w14:textFill>
        </w:rPr>
        <w:t>科</w:t>
      </w:r>
      <w:r>
        <w:rPr>
          <w:rFonts w:hint="eastAsia"/>
          <w:color w:val="000000" w:themeColor="text1"/>
          <w:sz w:val="21"/>
          <w:szCs w:val="21"/>
          <w14:textFill>
            <w14:solidFill>
              <w14:schemeClr w14:val="tx1"/>
            </w14:solidFill>
          </w14:textFill>
        </w:rPr>
        <w:t>学</w:t>
      </w:r>
      <w:r>
        <w:rPr>
          <w:color w:val="000000" w:themeColor="text1"/>
          <w:sz w:val="21"/>
          <w:szCs w:val="21"/>
          <w14:textFill>
            <w14:solidFill>
              <w14:schemeClr w14:val="tx1"/>
            </w14:solidFill>
          </w14:textFill>
        </w:rPr>
        <w:t>中心</w:t>
      </w:r>
      <w:r>
        <w:rPr>
          <w:rFonts w:hint="eastAsia"/>
          <w:color w:val="000000" w:themeColor="text1"/>
          <w:sz w:val="21"/>
          <w:szCs w:val="21"/>
          <w14:textFill>
            <w14:solidFill>
              <w14:schemeClr w14:val="tx1"/>
            </w14:solidFill>
          </w14:textFill>
        </w:rPr>
        <w:t>白</w:t>
      </w:r>
      <w:r>
        <w:rPr>
          <w:color w:val="000000" w:themeColor="text1"/>
          <w:sz w:val="21"/>
          <w:szCs w:val="21"/>
          <w14:textFill>
            <w14:solidFill>
              <w14:schemeClr w14:val="tx1"/>
            </w14:solidFill>
          </w14:textFill>
        </w:rPr>
        <w:t>蚁、红火</w:t>
      </w:r>
      <w:r>
        <w:rPr>
          <w:rFonts w:hint="eastAsia"/>
          <w:color w:val="000000" w:themeColor="text1"/>
          <w:sz w:val="21"/>
          <w:szCs w:val="21"/>
          <w14:textFill>
            <w14:solidFill>
              <w14:schemeClr w14:val="tx1"/>
            </w14:solidFill>
          </w14:textFill>
        </w:rPr>
        <w:t>蚁、蛇类、蜂类等非四害以外虫类防治消杀</w:t>
      </w:r>
      <w:r>
        <w:rPr>
          <w:color w:val="000000" w:themeColor="text1"/>
          <w:sz w:val="21"/>
          <w:szCs w:val="21"/>
          <w14:textFill>
            <w14:solidFill>
              <w14:schemeClr w14:val="tx1"/>
            </w14:solidFill>
          </w14:textFill>
        </w:rPr>
        <w:t xml:space="preserve">服务项目 </w:t>
      </w:r>
    </w:p>
    <w:p>
      <w:pPr>
        <w:pStyle w:val="2"/>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服务范围</w:t>
      </w:r>
      <w:r>
        <w:rPr>
          <w:rFonts w:hint="eastAsia"/>
          <w:color w:val="000000" w:themeColor="text1"/>
          <w:sz w:val="21"/>
          <w:szCs w:val="21"/>
          <w:lang w:eastAsia="zh-CN"/>
          <w14:textFill>
            <w14:solidFill>
              <w14:schemeClr w14:val="tx1"/>
            </w14:solidFill>
          </w14:textFill>
        </w:rPr>
        <w:t>与</w:t>
      </w:r>
      <w:r>
        <w:rPr>
          <w:rFonts w:hint="eastAsia"/>
          <w:color w:val="000000" w:themeColor="text1"/>
          <w:sz w:val="21"/>
          <w:szCs w:val="21"/>
          <w14:textFill>
            <w14:solidFill>
              <w14:schemeClr w14:val="tx1"/>
            </w14:solidFill>
          </w14:textFill>
        </w:rPr>
        <w:t>服务</w:t>
      </w:r>
      <w:r>
        <w:rPr>
          <w:color w:val="000000" w:themeColor="text1"/>
          <w:sz w:val="21"/>
          <w:szCs w:val="21"/>
          <w14:textFill>
            <w14:solidFill>
              <w14:schemeClr w14:val="tx1"/>
            </w14:solidFill>
          </w14:textFill>
        </w:rPr>
        <w:t>内容</w:t>
      </w:r>
    </w:p>
    <w:p>
      <w:pPr>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广东</w:t>
      </w:r>
      <w:r>
        <w:rPr>
          <w:rFonts w:hint="eastAsia" w:ascii="宋体" w:hAnsi="宋体" w:cs="宋体"/>
          <w:color w:val="000000" w:themeColor="text1"/>
          <w:sz w:val="21"/>
          <w:szCs w:val="21"/>
          <w14:textFill>
            <w14:solidFill>
              <w14:schemeClr w14:val="tx1"/>
            </w14:solidFill>
          </w14:textFill>
        </w:rPr>
        <w:t>科学中心红线范围内所有场地，包括但不限于（室内</w:t>
      </w:r>
      <w:r>
        <w:rPr>
          <w:rFonts w:hint="eastAsia"/>
          <w:color w:val="000000" w:themeColor="text1"/>
          <w:sz w:val="21"/>
          <w:szCs w:val="21"/>
          <w14:textFill>
            <w14:solidFill>
              <w14:schemeClr w14:val="tx1"/>
            </w14:solidFill>
          </w14:textFill>
        </w:rPr>
        <w:t>各楼层、室外各类场地、设施设备，以及待开放或施工改造的各类项目及后续进场的装修木材、展项、用品等进行</w:t>
      </w:r>
      <w:r>
        <w:rPr>
          <w:rFonts w:hint="eastAsia"/>
          <w:color w:val="000000" w:themeColor="text1"/>
          <w:sz w:val="21"/>
          <w:szCs w:val="21"/>
          <w:lang w:eastAsia="zh-CN"/>
          <w14:textFill>
            <w14:solidFill>
              <w14:schemeClr w14:val="tx1"/>
            </w14:solidFill>
          </w14:textFill>
        </w:rPr>
        <w:t>蚁类</w:t>
      </w:r>
      <w:r>
        <w:rPr>
          <w:rFonts w:hint="eastAsia"/>
          <w:color w:val="000000" w:themeColor="text1"/>
          <w:sz w:val="21"/>
          <w:szCs w:val="21"/>
          <w14:textFill>
            <w14:solidFill>
              <w14:schemeClr w14:val="tx1"/>
            </w14:solidFill>
          </w14:textFill>
        </w:rPr>
        <w:t>防治措施等）。</w:t>
      </w:r>
    </w:p>
    <w:p>
      <w:pPr>
        <w:pStyle w:val="6"/>
        <w:adjustRightInd w:val="0"/>
        <w:snapToGrid w:val="0"/>
        <w:ind w:firstLine="424" w:firstLineChars="202"/>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中标人必须按国家、省、市、区相关防标准及采购人要求做好承包范围内的排查、防控、扑杀</w:t>
      </w:r>
      <w:r>
        <w:rPr>
          <w:rFonts w:hint="eastAsia"/>
          <w:color w:val="000000" w:themeColor="text1"/>
          <w:sz w:val="21"/>
          <w:szCs w:val="21"/>
          <w:lang w:eastAsia="zh-CN"/>
          <w14:textFill>
            <w14:solidFill>
              <w14:schemeClr w14:val="tx1"/>
            </w14:solidFill>
          </w14:textFill>
        </w:rPr>
        <w:t>等</w:t>
      </w:r>
      <w:r>
        <w:rPr>
          <w:rFonts w:hint="eastAsia"/>
          <w:color w:val="000000" w:themeColor="text1"/>
          <w:sz w:val="21"/>
          <w:szCs w:val="21"/>
          <w14:textFill>
            <w14:solidFill>
              <w14:schemeClr w14:val="tx1"/>
            </w14:solidFill>
          </w14:textFill>
        </w:rPr>
        <w:t>工作，建立日常排查、防控、扑杀等工作台账（本承包项目的工作台账内容以采购人要求或上级主管部门要求为准），并</w:t>
      </w:r>
      <w:r>
        <w:rPr>
          <w:rFonts w:hint="eastAsia"/>
          <w:color w:val="000000" w:themeColor="text1"/>
          <w:sz w:val="21"/>
          <w:szCs w:val="21"/>
          <w:lang w:eastAsia="zh-CN"/>
          <w14:textFill>
            <w14:solidFill>
              <w14:schemeClr w14:val="tx1"/>
            </w14:solidFill>
          </w14:textFill>
        </w:rPr>
        <w:t>每季</w:t>
      </w:r>
      <w:r>
        <w:rPr>
          <w:rFonts w:hint="eastAsia"/>
          <w:color w:val="000000" w:themeColor="text1"/>
          <w:sz w:val="21"/>
          <w:szCs w:val="21"/>
          <w14:textFill>
            <w14:solidFill>
              <w14:schemeClr w14:val="tx1"/>
            </w14:solidFill>
          </w14:textFill>
        </w:rPr>
        <w:t>将工作计划、总结、台账及药物清单等各类相关资料提交给采购人备档。</w:t>
      </w:r>
    </w:p>
    <w:p>
      <w:pPr>
        <w:pStyle w:val="6"/>
        <w:numPr>
          <w:ilvl w:val="0"/>
          <w:numId w:val="2"/>
        </w:numPr>
        <w:adjustRightInd w:val="0"/>
        <w:snapToGrid w:val="0"/>
        <w:ind w:left="0" w:leftChars="0" w:firstLine="0" w:firstLineChars="0"/>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商务要求</w:t>
      </w:r>
    </w:p>
    <w:p>
      <w:pPr>
        <w:numPr>
          <w:ilvl w:val="0"/>
          <w:numId w:val="0"/>
        </w:numPr>
        <w:ind w:left="423" w:leftChars="0"/>
        <w:rPr>
          <w:rFonts w:hint="eastAsia" w:cs="楷体"/>
          <w:color w:val="000000" w:themeColor="text1"/>
          <w:sz w:val="21"/>
          <w:szCs w:val="21"/>
          <w:lang w:eastAsia="zh-CN"/>
          <w14:textFill>
            <w14:solidFill>
              <w14:schemeClr w14:val="tx1"/>
            </w14:solidFill>
          </w14:textFill>
        </w:rPr>
      </w:pPr>
      <w:r>
        <w:rPr>
          <w:rFonts w:hint="eastAsia" w:cs="楷体"/>
          <w:color w:val="000000" w:themeColor="text1"/>
          <w:sz w:val="21"/>
          <w:szCs w:val="21"/>
          <w:lang w:val="en-US" w:eastAsia="zh-CN"/>
          <w14:textFill>
            <w14:solidFill>
              <w14:schemeClr w14:val="tx1"/>
            </w14:solidFill>
          </w14:textFill>
        </w:rPr>
        <w:t>1.</w:t>
      </w:r>
      <w:r>
        <w:rPr>
          <w:rFonts w:hint="eastAsia" w:cs="楷体"/>
          <w:color w:val="000000" w:themeColor="text1"/>
          <w:sz w:val="21"/>
          <w:szCs w:val="21"/>
          <w:lang w:eastAsia="zh-CN"/>
          <w14:textFill>
            <w14:solidFill>
              <w14:schemeClr w14:val="tx1"/>
            </w14:solidFill>
          </w14:textFill>
        </w:rPr>
        <w:t>服务期限</w:t>
      </w:r>
    </w:p>
    <w:p>
      <w:pPr>
        <w:numPr>
          <w:ilvl w:val="0"/>
          <w:numId w:val="0"/>
        </w:numPr>
        <w:rPr>
          <w:rFonts w:hint="eastAsia" w:cs="楷体"/>
          <w:color w:val="000000" w:themeColor="text1"/>
          <w:sz w:val="21"/>
          <w:szCs w:val="21"/>
          <w14:textFill>
            <w14:solidFill>
              <w14:schemeClr w14:val="tx1"/>
            </w14:solidFill>
          </w14:textFill>
        </w:rPr>
      </w:pPr>
      <w:r>
        <w:rPr>
          <w:rFonts w:hint="eastAsia" w:cs="楷体"/>
          <w:color w:val="000000" w:themeColor="text1"/>
          <w:sz w:val="21"/>
          <w:szCs w:val="21"/>
          <w:lang w:eastAsia="zh-CN"/>
          <w14:textFill>
            <w14:solidFill>
              <w14:schemeClr w14:val="tx1"/>
            </w14:solidFill>
          </w14:textFill>
        </w:rPr>
        <w:t>　　</w:t>
      </w:r>
      <w:r>
        <w:rPr>
          <w:rFonts w:hint="eastAsia" w:cs="楷体"/>
          <w:color w:val="000000" w:themeColor="text1"/>
          <w:sz w:val="21"/>
          <w:szCs w:val="21"/>
          <w14:textFill>
            <w14:solidFill>
              <w14:schemeClr w14:val="tx1"/>
            </w14:solidFill>
          </w14:textFill>
        </w:rPr>
        <w:t>室外：2022年6月1日至2025年5月31日；</w:t>
      </w:r>
    </w:p>
    <w:p>
      <w:pPr>
        <w:ind w:firstLine="420"/>
        <w:rPr>
          <w:rFonts w:hint="eastAsia"/>
          <w:color w:val="000000" w:themeColor="text1"/>
          <w:sz w:val="21"/>
          <w:szCs w:val="21"/>
          <w14:textFill>
            <w14:solidFill>
              <w14:schemeClr w14:val="tx1"/>
            </w14:solidFill>
          </w14:textFill>
        </w:rPr>
      </w:pPr>
      <w:r>
        <w:rPr>
          <w:rFonts w:hint="eastAsia" w:cs="楷体"/>
          <w:color w:val="000000" w:themeColor="text1"/>
          <w:sz w:val="21"/>
          <w:szCs w:val="21"/>
          <w14:textFill>
            <w14:solidFill>
              <w14:schemeClr w14:val="tx1"/>
            </w14:solidFill>
          </w14:textFill>
        </w:rPr>
        <w:t>室内：2022年11月1日至2025年5月31日</w:t>
      </w:r>
      <w:r>
        <w:rPr>
          <w:rFonts w:hint="eastAsia"/>
          <w:color w:val="000000" w:themeColor="text1"/>
          <w:sz w:val="21"/>
          <w:szCs w:val="21"/>
          <w14:textFill>
            <w14:solidFill>
              <w14:schemeClr w14:val="tx1"/>
            </w14:solidFill>
          </w14:textFill>
        </w:rPr>
        <w:t>。</w:t>
      </w:r>
    </w:p>
    <w:p>
      <w:pPr>
        <w:pStyle w:val="2"/>
        <w:numPr>
          <w:numId w:val="0"/>
        </w:numPr>
        <w:ind w:leftChars="0"/>
        <w:rPr>
          <w:rFonts w:hint="default" w:eastAsiaTheme="majorEastAsia"/>
          <w:b w:val="0"/>
          <w:bCs w:val="0"/>
          <w:lang w:val="en-US" w:eastAsia="zh-CN"/>
        </w:rPr>
      </w:pPr>
      <w:r>
        <w:rPr>
          <w:rFonts w:hint="eastAsia"/>
          <w:b w:val="0"/>
          <w:bCs w:val="0"/>
          <w:color w:val="000000" w:themeColor="text1"/>
          <w:sz w:val="21"/>
          <w:szCs w:val="21"/>
          <w:lang w:val="en-US" w:eastAsia="zh-CN"/>
          <w14:textFill>
            <w14:solidFill>
              <w14:schemeClr w14:val="tx1"/>
            </w14:solidFill>
          </w14:textFill>
        </w:rPr>
        <w:t xml:space="preserve">    2. 报价人须具备相关病虫害防治类资质</w:t>
      </w:r>
    </w:p>
    <w:p>
      <w:pPr>
        <w:pStyle w:val="2"/>
        <w:numPr>
          <w:ilvl w:val="1"/>
          <w:numId w:val="0"/>
        </w:numPr>
        <w:ind w:leftChars="0"/>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四、</w:t>
      </w:r>
      <w:r>
        <w:rPr>
          <w:rFonts w:hint="eastAsia"/>
          <w:color w:val="000000" w:themeColor="text1"/>
          <w:sz w:val="21"/>
          <w:szCs w:val="21"/>
          <w14:textFill>
            <w14:solidFill>
              <w14:schemeClr w14:val="tx1"/>
            </w14:solidFill>
          </w14:textFill>
        </w:rPr>
        <w:t>作业实施要求</w:t>
      </w:r>
    </w:p>
    <w:p>
      <w:pPr>
        <w:pStyle w:val="6"/>
        <w:numPr>
          <w:ilvl w:val="2"/>
          <w:numId w:val="3"/>
        </w:numPr>
        <w:adjustRightInd w:val="0"/>
        <w:snapToGrid w:val="0"/>
        <w:ind w:left="0" w:firstLine="424" w:firstLineChars="202"/>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中标人必须按规定使用符合国家标准的、低毒、高效、有针对性的药物，有效防控承包范围内服务事项。若因中标人防控不到位造成的损失或影响，所产生的一切安全、法律责任均由中标人承担。</w:t>
      </w:r>
    </w:p>
    <w:p>
      <w:pPr>
        <w:pStyle w:val="6"/>
        <w:numPr>
          <w:ilvl w:val="2"/>
          <w:numId w:val="3"/>
        </w:numPr>
        <w:adjustRightInd w:val="0"/>
        <w:snapToGrid w:val="0"/>
        <w:ind w:left="0" w:firstLine="424" w:firstLineChars="202"/>
        <w:rPr>
          <w:color w:val="000000" w:themeColor="text1"/>
          <w:sz w:val="21"/>
          <w:szCs w:val="21"/>
          <w14:textFill>
            <w14:solidFill>
              <w14:schemeClr w14:val="tx1"/>
            </w14:solidFill>
          </w14:textFill>
        </w:rPr>
      </w:pPr>
      <w:bookmarkStart w:id="0" w:name="_Hlk99204162"/>
      <w:r>
        <w:rPr>
          <w:rFonts w:hint="eastAsia"/>
          <w:color w:val="000000" w:themeColor="text1"/>
          <w:sz w:val="21"/>
          <w:szCs w:val="21"/>
          <w14:textFill>
            <w14:solidFill>
              <w14:schemeClr w14:val="tx1"/>
            </w14:solidFill>
          </w14:textFill>
        </w:rPr>
        <w:t>中标人必须向采购人以书面形式制定提交本项目全年完整、可行、详细的服务事项</w:t>
      </w:r>
      <w:r>
        <w:rPr>
          <w:rFonts w:hint="eastAsia"/>
          <w:color w:val="000000" w:themeColor="text1"/>
          <w:sz w:val="21"/>
          <w:szCs w:val="21"/>
          <w:lang w:eastAsia="zh-CN"/>
          <w14:textFill>
            <w14:solidFill>
              <w14:schemeClr w14:val="tx1"/>
            </w14:solidFill>
          </w14:textFill>
        </w:rPr>
        <w:t>和</w:t>
      </w:r>
      <w:r>
        <w:rPr>
          <w:rFonts w:hint="eastAsia"/>
          <w:color w:val="000000" w:themeColor="text1"/>
          <w:sz w:val="21"/>
          <w:szCs w:val="21"/>
          <w14:textFill>
            <w14:solidFill>
              <w14:schemeClr w14:val="tx1"/>
            </w14:solidFill>
          </w14:textFill>
        </w:rPr>
        <w:t>防控管理服务方案，明确组织机构、人员配备、消杀要求、质量标准、检查考核办法、安全措施、奖惩措施、应急预案等，经采购人同意后方可实施</w:t>
      </w:r>
      <w:bookmarkEnd w:id="0"/>
      <w:r>
        <w:rPr>
          <w:rFonts w:hint="eastAsia"/>
          <w:color w:val="000000" w:themeColor="text1"/>
          <w:sz w:val="21"/>
          <w:szCs w:val="21"/>
          <w14:textFill>
            <w14:solidFill>
              <w14:schemeClr w14:val="tx1"/>
            </w14:solidFill>
          </w14:textFill>
        </w:rPr>
        <w:t>。</w:t>
      </w:r>
    </w:p>
    <w:p>
      <w:pPr>
        <w:pStyle w:val="6"/>
        <w:numPr>
          <w:ilvl w:val="2"/>
          <w:numId w:val="3"/>
        </w:numPr>
        <w:adjustRightInd w:val="0"/>
        <w:snapToGrid w:val="0"/>
        <w:ind w:left="0" w:firstLine="424" w:firstLineChars="202"/>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中标人必须配备充足的人员及器械专用于本项目。</w:t>
      </w:r>
    </w:p>
    <w:p>
      <w:pPr>
        <w:pStyle w:val="6"/>
        <w:numPr>
          <w:ilvl w:val="2"/>
          <w:numId w:val="3"/>
        </w:numPr>
        <w:adjustRightInd w:val="0"/>
        <w:snapToGrid w:val="0"/>
        <w:ind w:left="0" w:firstLine="424" w:firstLineChars="202"/>
        <w:rPr>
          <w:color w:val="000000" w:themeColor="text1"/>
          <w:sz w:val="21"/>
          <w:szCs w:val="21"/>
          <w14:textFill>
            <w14:solidFill>
              <w14:schemeClr w14:val="tx1"/>
            </w14:solidFill>
          </w14:textFill>
        </w:rPr>
      </w:pPr>
      <w:bookmarkStart w:id="1" w:name="_Hlk99203951"/>
      <w:r>
        <w:rPr>
          <w:rFonts w:hint="eastAsia" w:hAnsi="宋体"/>
          <w:color w:val="000000" w:themeColor="text1"/>
          <w:sz w:val="21"/>
          <w:szCs w:val="21"/>
          <w14:textFill>
            <w14:solidFill>
              <w14:schemeClr w14:val="tx1"/>
            </w14:solidFill>
          </w14:textFill>
        </w:rPr>
        <w:t>建立起完善的质量监测机制，定期进行有害生物密度监测和防制效果监测，监测结果及资料及时统计分析上报并归档保存。</w:t>
      </w:r>
      <w:bookmarkEnd w:id="1"/>
    </w:p>
    <w:p>
      <w:pPr>
        <w:pStyle w:val="6"/>
        <w:numPr>
          <w:ilvl w:val="2"/>
          <w:numId w:val="3"/>
        </w:numPr>
        <w:adjustRightInd w:val="0"/>
        <w:snapToGrid w:val="0"/>
        <w:ind w:left="0" w:firstLine="424" w:firstLineChars="202"/>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工作</w:t>
      </w:r>
      <w:r>
        <w:rPr>
          <w:rFonts w:hint="eastAsia" w:hAnsi="宋体"/>
          <w:color w:val="000000" w:themeColor="text1"/>
          <w:sz w:val="21"/>
          <w:szCs w:val="21"/>
          <w14:textFill>
            <w14:solidFill>
              <w14:schemeClr w14:val="tx1"/>
            </w14:solidFill>
          </w14:textFill>
        </w:rPr>
        <w:t>实施：杀灭作业前，必须先到现场调查有害生物的具体情况，应对其种类、栖息部位、密度状况及孳生环境等情况有全面的了解，因地制宜制定合理的综合控制方案。</w:t>
      </w:r>
    </w:p>
    <w:p>
      <w:pPr>
        <w:pStyle w:val="6"/>
        <w:numPr>
          <w:ilvl w:val="2"/>
          <w:numId w:val="3"/>
        </w:numPr>
        <w:adjustRightInd w:val="0"/>
        <w:snapToGrid w:val="0"/>
        <w:ind w:left="0" w:firstLine="424" w:firstLineChars="202"/>
        <w:rPr>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安排专人负责本项目范围内的巡查工作，全方位覆盖消杀，做到提前预防，发现一处，处理一处，发现一片，处理一片，做到即时发现，即时处理。切实做好防控管理工作。</w:t>
      </w:r>
      <w:bookmarkStart w:id="2" w:name="_Hlk99203465"/>
    </w:p>
    <w:p>
      <w:pPr>
        <w:pStyle w:val="6"/>
        <w:numPr>
          <w:ilvl w:val="2"/>
          <w:numId w:val="3"/>
        </w:numPr>
        <w:adjustRightInd w:val="0"/>
        <w:snapToGrid w:val="0"/>
        <w:ind w:left="0" w:firstLine="424" w:firstLineChars="202"/>
        <w:rPr>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在重点时期、重点地域进行集中人力物力防控，中标人组织参加集中防控扑杀人员安排不少于6人，平时安排不少于4人进行日常巡查，填写《巡查防控情况登记表》，并取得巡查区域所属负责人的签名确认，每月承包范围进行全面日常巡查一遍，并报送一次巡查资料（日常巡查表、防控表及带水印的图片）。</w:t>
      </w:r>
    </w:p>
    <w:p>
      <w:pPr>
        <w:pStyle w:val="6"/>
        <w:numPr>
          <w:ilvl w:val="2"/>
          <w:numId w:val="3"/>
        </w:numPr>
        <w:adjustRightInd w:val="0"/>
        <w:snapToGrid w:val="0"/>
        <w:ind w:left="0" w:firstLine="424" w:firstLineChars="202"/>
        <w:rPr>
          <w:color w:val="000000" w:themeColor="text1"/>
          <w:sz w:val="21"/>
          <w:szCs w:val="21"/>
          <w14:textFill>
            <w14:solidFill>
              <w14:schemeClr w14:val="tx1"/>
            </w14:solidFill>
          </w14:textFill>
        </w:rPr>
      </w:pPr>
      <w:r>
        <w:rPr>
          <w:rFonts w:hint="eastAsia" w:hAnsi="宋体" w:cs="仿宋"/>
          <w:color w:val="000000" w:themeColor="text1"/>
          <w:sz w:val="21"/>
          <w:szCs w:val="21"/>
          <w14:textFill>
            <w14:solidFill>
              <w14:schemeClr w14:val="tx1"/>
            </w14:solidFill>
          </w14:textFill>
        </w:rPr>
        <w:t>防治工作：</w:t>
      </w:r>
      <w:r>
        <w:rPr>
          <w:rFonts w:hint="eastAsia"/>
          <w:color w:val="000000" w:themeColor="text1"/>
          <w:sz w:val="21"/>
          <w:szCs w:val="21"/>
          <w14:textFill>
            <w14:solidFill>
              <w14:schemeClr w14:val="tx1"/>
            </w14:solidFill>
          </w14:textFill>
        </w:rPr>
        <w:t>承包期内的第一个月必须对广东科学中心红线范围内进行全面检查，绿化区域使用对应的诱杀药进行引杀，确保防治效果；承包期内第二个月开始对项目范围内开展不定期巡查，每月最少复查施药一次，对有害生物进行灭杀和预防；如遇应急处理事项，承包单位必须在通知规定的时间内到达现场处理。</w:t>
      </w:r>
    </w:p>
    <w:p>
      <w:pPr>
        <w:pStyle w:val="6"/>
        <w:numPr>
          <w:ilvl w:val="2"/>
          <w:numId w:val="3"/>
        </w:numPr>
        <w:adjustRightInd w:val="0"/>
        <w:snapToGrid w:val="0"/>
        <w:ind w:left="0" w:firstLine="424" w:firstLineChars="202"/>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每月加强对防治范围巡查和预防工作，主动与相关部门联系，发现有有害生物迹象要及时防治，并做好防治有害生物施药登记(包括具体的时间、位置、工作内容、工作方式等)，同时要接受采购人的监督和本合同约定范围内的建议。</w:t>
      </w:r>
    </w:p>
    <w:p>
      <w:pPr>
        <w:pStyle w:val="6"/>
        <w:numPr>
          <w:ilvl w:val="2"/>
          <w:numId w:val="3"/>
        </w:numPr>
        <w:adjustRightInd w:val="0"/>
        <w:snapToGrid w:val="0"/>
        <w:ind w:left="0" w:firstLine="424" w:firstLineChars="202"/>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中标人应在各类有害生物多发的季节和地点积极做好巡查和预防工作。</w:t>
      </w:r>
    </w:p>
    <w:p>
      <w:pPr>
        <w:pStyle w:val="6"/>
        <w:numPr>
          <w:ilvl w:val="2"/>
          <w:numId w:val="3"/>
        </w:numPr>
        <w:adjustRightInd w:val="0"/>
        <w:snapToGrid w:val="0"/>
        <w:ind w:left="0" w:firstLine="424" w:firstLineChars="202"/>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中标人在履行合同期间，每月至少进行4次全面有害生物排查，并进行有效防治和消杀，处理后做好复查情况记录，及时报告采购人。</w:t>
      </w:r>
    </w:p>
    <w:p>
      <w:pPr>
        <w:pStyle w:val="6"/>
        <w:numPr>
          <w:ilvl w:val="2"/>
          <w:numId w:val="3"/>
        </w:numPr>
        <w:adjustRightInd w:val="0"/>
        <w:snapToGrid w:val="0"/>
        <w:ind w:left="0" w:firstLine="424" w:firstLineChars="202"/>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中标人必须无条件执行采购人提出的各类相关工作要求和作业方法。</w:t>
      </w:r>
    </w:p>
    <w:bookmarkEnd w:id="2"/>
    <w:p>
      <w:pPr>
        <w:pStyle w:val="2"/>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安全防护措施</w:t>
      </w:r>
    </w:p>
    <w:p>
      <w:pPr>
        <w:ind w:firstLine="4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1、员工持证上岗，规范操作，文明作业。</w:t>
      </w:r>
    </w:p>
    <w:p>
      <w:pPr>
        <w:ind w:firstLine="4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2、从事消杀服务的作业人员必须熟悉卫生杀虫器械的使用，并熟知所用药物说明书上的注意事项和急救措施。在操作过程中必须穿长袖衣、长裤和鞋袜，戴防毒口罩。 </w:t>
      </w:r>
    </w:p>
    <w:p>
      <w:pPr>
        <w:ind w:firstLine="4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3、药物稀释喷杀，操作人员应熟悉药物的性质和配制方法，使用专门的量具，按要求正确配置使用。</w:t>
      </w:r>
    </w:p>
    <w:p>
      <w:pPr>
        <w:ind w:firstLine="4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4、检测施药器械，保证使用性能良好，以防发生渗漏，污染皮肤及其它现场物品；不得使用质量低劣或时有故障的器械，防止器械伤人。</w:t>
      </w:r>
    </w:p>
    <w:p>
      <w:pPr>
        <w:ind w:firstLine="4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5、施药结束后，应及时清洗器械，盛药的空瓶或容器应集中处理，不得任意丢弃或作它用。未用完的药液或药剂应加上标签，运回仓库妥善保管。</w:t>
      </w:r>
      <w:r>
        <w:rPr>
          <w:rFonts w:ascii="宋体" w:hAnsi="宋体" w:cs="Arial"/>
          <w:color w:val="000000" w:themeColor="text1"/>
          <w:sz w:val="21"/>
          <w:szCs w:val="21"/>
          <w14:textFill>
            <w14:solidFill>
              <w14:schemeClr w14:val="tx1"/>
            </w14:solidFill>
          </w14:textFill>
        </w:rPr>
        <w:t>药物储存要有安全固定的库房，要有专门的管理人员，要有健全的库房管理制度</w:t>
      </w:r>
      <w:r>
        <w:rPr>
          <w:rFonts w:hint="eastAsia" w:ascii="宋体" w:hAnsi="宋体" w:cs="Arial"/>
          <w:color w:val="000000" w:themeColor="text1"/>
          <w:sz w:val="21"/>
          <w:szCs w:val="21"/>
          <w14:textFill>
            <w14:solidFill>
              <w14:schemeClr w14:val="tx1"/>
            </w14:solidFill>
          </w14:textFill>
        </w:rPr>
        <w:t>。</w:t>
      </w:r>
    </w:p>
    <w:p>
      <w:pPr>
        <w:ind w:firstLine="4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6、在公共场所进行消杀作业时，应提前与管理单位协商限制消杀时间，及时通知并疏散群众，注意保护好群众安全。不能在群众集中时段进行消杀作业。</w:t>
      </w:r>
    </w:p>
    <w:p>
      <w:pPr>
        <w:ind w:firstLine="4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7、在放置灭害药剂的地方，必须树立明显的警示标志及通知群众避让。</w:t>
      </w:r>
    </w:p>
    <w:p>
      <w:pPr>
        <w:pStyle w:val="2"/>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突发事件处理</w:t>
      </w:r>
    </w:p>
    <w:p>
      <w:pPr>
        <w:ind w:firstLine="4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遇突发疫情或有害生物入侵事件，中标人必须按有关要求，启动紧急预案，迅速组织力量（人、药、器械到位），全力配合及协助采购人处理应急事件。</w:t>
      </w:r>
    </w:p>
    <w:p>
      <w:pPr>
        <w:pStyle w:val="2"/>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履约要求</w:t>
      </w:r>
    </w:p>
    <w:p>
      <w:pPr>
        <w:ind w:firstLine="4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为监督中标人切实履行其责任和义务，确保防控工作的质量与效果，制定本项目履约要求。采购人有权根据有关规定和实施情况对质量考核标准及奖惩办法作出相应修改。</w:t>
      </w:r>
    </w:p>
    <w:p>
      <w:pPr>
        <w:ind w:firstLine="424" w:firstLineChars="20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1、中标人必须接受采购人的检查考核，对采购人提出的整改要求进行及时整改。</w:t>
      </w:r>
    </w:p>
    <w:p>
      <w:pPr>
        <w:widowControl/>
        <w:ind w:firstLine="424" w:firstLineChars="20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采购人不定期进行抽查,每月形成月度考核记录表，检验现场有害生物消杀防治情况，每发现一处扣2分，发现超过3处扣10分，发现超过5处扣20分，发现8处以上直接扣除当月服务费的50%，并责令中标人在24小时内整改,如未及时整改或整改不合格,采购人有权终止合同，并对中标人处以合同价款总额5%的违约金。</w:t>
      </w:r>
    </w:p>
    <w:p>
      <w:pPr>
        <w:widowControl/>
        <w:ind w:firstLine="424" w:firstLineChars="202"/>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如发现中标人防控工作不规范，人员配置没有达到规定要求，药品不符合标准，机械不达标，工作质量低劣，按采购人制定的考核标准要求进行扣罚，采购人将提出整改要求，如中标人逾期不整改，采购人可提前终止合同，并对中标人处以合同价款总额5%的违约金。</w:t>
      </w:r>
    </w:p>
    <w:p>
      <w:pPr>
        <w:widowControl/>
        <w:ind w:firstLine="424" w:firstLineChars="20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4、如中标人使用不符合规定的药物或操作失误造成人畜伤害及死亡（包括中标人工作人员出现工伤事故等），由中标人承担由此所引起的一切经济损失和法律责任。</w:t>
      </w:r>
    </w:p>
    <w:p>
      <w:pPr>
        <w:widowControl/>
        <w:ind w:firstLine="424" w:firstLineChars="20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如中标人在一个月内，如被投诉，必须在规定时间24小时内派出人员处理，经查实发现有有害生物活动巢的（在已防治过地域发生），按采购人制定的考核标准要求进行扣罚，并立即整改，整改不及时的，采购人可提前终止合同，并对中标人处以合同价款总额5%的违约金。</w:t>
      </w:r>
    </w:p>
    <w:p>
      <w:pPr>
        <w:widowControl/>
        <w:ind w:firstLine="424" w:firstLineChars="20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6、中标人擅自将服务合同转包或部分分包给第三方，采购人有权将中标人列入黑名单并终止合同，并对中标人处以合同价款总额5%的违约金。</w:t>
      </w:r>
    </w:p>
    <w:p>
      <w:pPr>
        <w:ind w:firstLine="424" w:firstLineChars="20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7、中标人弄虚作假及其他不正当行为的，采购人有权终止合同，经济损失和法律责任由中标人承担。</w:t>
      </w:r>
    </w:p>
    <w:p>
      <w:pPr>
        <w:ind w:firstLine="424" w:firstLineChars="20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8、中标人违反劳动法或其他相关法律法规，造成恶劣影响，采购人有权终止合同，经济损失和法律责任由中标人承担。</w:t>
      </w:r>
    </w:p>
    <w:p>
      <w:pPr>
        <w:ind w:firstLine="424" w:firstLineChars="202"/>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9、中标人出现上述被采购人提前终止合同的违约情形的，终身禁止参与由采购人组织的同类项目投标。</w:t>
      </w:r>
    </w:p>
    <w:p>
      <w:pPr>
        <w:spacing w:before="156" w:beforeLines="50" w:after="156" w:afterLines="50"/>
        <w:ind w:firstLine="424" w:firstLineChars="202"/>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10、采购人按照</w:t>
      </w:r>
      <w:r>
        <w:rPr>
          <w:rFonts w:hint="eastAsia"/>
          <w:color w:val="000000" w:themeColor="text1"/>
          <w:sz w:val="21"/>
          <w:szCs w:val="21"/>
          <w14:textFill>
            <w14:solidFill>
              <w14:schemeClr w14:val="tx1"/>
            </w14:solidFill>
          </w14:textFill>
        </w:rPr>
        <w:t>《有害生物治理服务质量考核办法》</w:t>
      </w:r>
      <w:r>
        <w:rPr>
          <w:rFonts w:hint="eastAsia" w:ascii="宋体" w:hAnsi="宋体"/>
          <w:color w:val="000000" w:themeColor="text1"/>
          <w:sz w:val="21"/>
          <w:szCs w:val="21"/>
          <w14:textFill>
            <w14:solidFill>
              <w14:schemeClr w14:val="tx1"/>
            </w14:solidFill>
          </w14:textFill>
        </w:rPr>
        <w:t>进行本项目服务质量考评，考评结果分“优、良、中、差”四个等级，优：90分以上（含90分）；良：85-90分（含85分）；中：80-85分（含80分）；差：80分以下，根据考评结果进行的奖罚。</w:t>
      </w:r>
    </w:p>
    <w:p>
      <w:pPr>
        <w:numPr>
          <w:ilvl w:val="3"/>
          <w:numId w:val="4"/>
        </w:numPr>
        <w:spacing w:before="156" w:beforeLines="50" w:after="156" w:afterLines="50" w:line="240" w:lineRule="auto"/>
        <w:ind w:left="993" w:firstLine="0" w:firstLineChars="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若中标人获评为“优”，则当月进度款全额支付；</w:t>
      </w:r>
    </w:p>
    <w:p>
      <w:pPr>
        <w:numPr>
          <w:ilvl w:val="3"/>
          <w:numId w:val="4"/>
        </w:numPr>
        <w:spacing w:before="156" w:beforeLines="50" w:after="156" w:afterLines="50" w:line="240" w:lineRule="auto"/>
        <w:ind w:left="993" w:firstLine="0" w:firstLineChars="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若中标人获评为“良”，则当月进度款的85%支付；</w:t>
      </w:r>
    </w:p>
    <w:p>
      <w:pPr>
        <w:numPr>
          <w:ilvl w:val="3"/>
          <w:numId w:val="4"/>
        </w:numPr>
        <w:spacing w:before="156" w:beforeLines="50" w:after="156" w:afterLines="50" w:line="240" w:lineRule="auto"/>
        <w:ind w:left="993" w:firstLine="0" w:firstLineChars="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若中标人获评为“中”，则当月进度款的70%支付；</w:t>
      </w:r>
    </w:p>
    <w:p>
      <w:pPr>
        <w:numPr>
          <w:ilvl w:val="3"/>
          <w:numId w:val="4"/>
        </w:numPr>
        <w:spacing w:before="156" w:beforeLines="50" w:after="156" w:afterLines="50" w:line="240" w:lineRule="auto"/>
        <w:ind w:left="993" w:firstLine="0" w:firstLineChars="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若中标人获评为“差”，则当月服务费用50%结算。</w:t>
      </w:r>
    </w:p>
    <w:p>
      <w:pPr>
        <w:pStyle w:val="19"/>
        <w:numPr>
          <w:ilvl w:val="0"/>
          <w:numId w:val="0"/>
        </w:numPr>
        <w:tabs>
          <w:tab w:val="left" w:pos="848"/>
        </w:tabs>
        <w:spacing w:before="2" w:after="0" w:line="422" w:lineRule="auto"/>
        <w:ind w:leftChars="200" w:right="173" w:rightChars="0"/>
        <w:jc w:val="left"/>
        <w:rPr>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　</w:t>
      </w:r>
      <w:r>
        <w:rPr>
          <w:rFonts w:hint="eastAsia" w:ascii="宋体" w:hAnsi="宋体"/>
          <w:color w:val="000000" w:themeColor="text1"/>
          <w:sz w:val="21"/>
          <w:szCs w:val="21"/>
          <w14:textFill>
            <w14:solidFill>
              <w14:schemeClr w14:val="tx1"/>
            </w14:solidFill>
          </w14:textFill>
        </w:rPr>
        <w:t>11、</w:t>
      </w:r>
      <w:r>
        <w:rPr>
          <w:rFonts w:hint="eastAsia" w:ascii="宋体" w:hAnsi="宋体"/>
          <w:color w:val="000000" w:themeColor="text1"/>
          <w:sz w:val="21"/>
          <w:szCs w:val="21"/>
          <w:lang w:eastAsia="zh-CN"/>
          <w14:textFill>
            <w14:solidFill>
              <w14:schemeClr w14:val="tx1"/>
            </w14:solidFill>
          </w14:textFill>
        </w:rPr>
        <w:t>双方签订合同</w:t>
      </w:r>
      <w:r>
        <w:rPr>
          <w:rFonts w:hint="eastAsia" w:ascii="宋体" w:hAnsi="宋体"/>
          <w:bCs/>
          <w:color w:val="000000" w:themeColor="text1"/>
          <w:sz w:val="21"/>
          <w:szCs w:val="21"/>
          <w14:textFill>
            <w14:solidFill>
              <w14:schemeClr w14:val="tx1"/>
            </w14:solidFill>
          </w14:textFill>
        </w:rPr>
        <w:t>后，</w:t>
      </w:r>
      <w:r>
        <w:rPr>
          <w:rFonts w:hint="eastAsia" w:ascii="宋体" w:hAnsi="宋体"/>
          <w:bCs/>
          <w:color w:val="000000" w:themeColor="text1"/>
          <w:sz w:val="21"/>
          <w:szCs w:val="21"/>
          <w:lang w:eastAsia="zh-CN"/>
          <w14:textFill>
            <w14:solidFill>
              <w14:schemeClr w14:val="tx1"/>
            </w14:solidFill>
          </w14:textFill>
        </w:rPr>
        <w:t>中标人</w:t>
      </w:r>
      <w:r>
        <w:rPr>
          <w:rFonts w:hint="eastAsia" w:ascii="宋体" w:hAnsi="宋体"/>
          <w:bCs/>
          <w:color w:val="000000" w:themeColor="text1"/>
          <w:sz w:val="21"/>
          <w:szCs w:val="21"/>
          <w14:textFill>
            <w14:solidFill>
              <w14:schemeClr w14:val="tx1"/>
            </w14:solidFill>
          </w14:textFill>
        </w:rPr>
        <w:t>于正式进场前</w:t>
      </w:r>
      <w:r>
        <w:rPr>
          <w:rFonts w:ascii="宋体" w:hAnsi="宋体"/>
          <w:bCs/>
          <w:color w:val="000000" w:themeColor="text1"/>
          <w:sz w:val="21"/>
          <w:szCs w:val="21"/>
          <w14:textFill>
            <w14:solidFill>
              <w14:schemeClr w14:val="tx1"/>
            </w14:solidFill>
          </w14:textFill>
        </w:rPr>
        <w:t>15</w:t>
      </w:r>
      <w:r>
        <w:rPr>
          <w:rFonts w:hint="eastAsia" w:ascii="宋体" w:hAnsi="宋体"/>
          <w:bCs/>
          <w:color w:val="000000" w:themeColor="text1"/>
          <w:sz w:val="21"/>
          <w:szCs w:val="21"/>
          <w14:textFill>
            <w14:solidFill>
              <w14:schemeClr w14:val="tx1"/>
            </w14:solidFill>
          </w14:textFill>
        </w:rPr>
        <w:t>个工作日内向甲方足额缴纳履约保证金（合同总价的5%），</w:t>
      </w:r>
      <w:r>
        <w:rPr>
          <w:color w:val="000000" w:themeColor="text1"/>
          <w:w w:val="98"/>
          <w:sz w:val="21"/>
          <w:szCs w:val="21"/>
          <w14:textFill>
            <w14:solidFill>
              <w14:schemeClr w14:val="tx1"/>
            </w14:solidFill>
          </w14:textFill>
        </w:rPr>
        <w:t>合同期满（包括终止合同）后于</w:t>
      </w:r>
      <w:r>
        <w:rPr>
          <w:color w:val="000000" w:themeColor="text1"/>
          <w:spacing w:val="1"/>
          <w:w w:val="125"/>
          <w:sz w:val="21"/>
          <w:szCs w:val="21"/>
          <w14:textFill>
            <w14:solidFill>
              <w14:schemeClr w14:val="tx1"/>
            </w14:solidFill>
          </w14:textFill>
        </w:rPr>
        <w:t>15</w:t>
      </w:r>
      <w:r>
        <w:rPr>
          <w:color w:val="000000" w:themeColor="text1"/>
          <w:w w:val="98"/>
          <w:sz w:val="21"/>
          <w:szCs w:val="21"/>
          <w14:textFill>
            <w14:solidFill>
              <w14:schemeClr w14:val="tx1"/>
            </w14:solidFill>
          </w14:textFill>
        </w:rPr>
        <w:t>天内无息退还给中标人。合同期间，如中标人出现重大服务质量问题和严重违约行为，</w:t>
      </w:r>
      <w:r>
        <w:rPr>
          <w:rFonts w:hint="eastAsia"/>
          <w:color w:val="000000" w:themeColor="text1"/>
          <w:w w:val="98"/>
          <w:sz w:val="21"/>
          <w:szCs w:val="21"/>
          <w:lang w:eastAsia="zh-CN"/>
          <w14:textFill>
            <w14:solidFill>
              <w14:schemeClr w14:val="tx1"/>
            </w14:solidFill>
          </w14:textFill>
        </w:rPr>
        <w:t>广东科学中心</w:t>
      </w:r>
      <w:r>
        <w:rPr>
          <w:color w:val="000000" w:themeColor="text1"/>
          <w:w w:val="98"/>
          <w:sz w:val="21"/>
          <w:szCs w:val="21"/>
          <w14:textFill>
            <w14:solidFill>
              <w14:schemeClr w14:val="tx1"/>
            </w14:solidFill>
          </w14:textFill>
        </w:rPr>
        <w:t>除追究中标人相关责任外将没收履约保证金。</w:t>
      </w:r>
    </w:p>
    <w:p>
      <w:pPr>
        <w:pStyle w:val="2"/>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报价要求</w:t>
      </w:r>
    </w:p>
    <w:p>
      <w:pPr>
        <w:ind w:firstLine="424" w:firstLineChars="20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1、本项目以人民币为报价和结算货币。</w:t>
      </w:r>
    </w:p>
    <w:p>
      <w:pPr>
        <w:ind w:firstLine="424" w:firstLineChars="20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报价中必须包括本项目的药品费用、人工费、员工意外保险、工伤、医疗、失业、养老保险、管理费、机械设备工具材料费、机械使用费、水费、电费、维修维护费、企业利润、技术指导费、风险费、突发事件处理费、税费、合同实施过程中的应预见和不可预见费用等完成本采购内容所需的一切费用及企业利润</w:t>
      </w:r>
      <w:r>
        <w:rPr>
          <w:rFonts w:hint="eastAsia" w:ascii="宋体" w:hAnsi="宋体"/>
          <w:color w:val="000000" w:themeColor="text1"/>
          <w:sz w:val="21"/>
          <w:szCs w:val="21"/>
          <w:lang w:eastAsia="zh-CN"/>
          <w14:textFill>
            <w14:solidFill>
              <w14:schemeClr w14:val="tx1"/>
            </w14:solidFill>
          </w14:textFill>
        </w:rPr>
        <w:t>，并列示报价</w:t>
      </w:r>
      <w:bookmarkStart w:id="3" w:name="_GoBack"/>
      <w:bookmarkEnd w:id="3"/>
      <w:r>
        <w:rPr>
          <w:rFonts w:hint="eastAsia" w:ascii="宋体" w:hAnsi="宋体"/>
          <w:color w:val="000000" w:themeColor="text1"/>
          <w:sz w:val="21"/>
          <w:szCs w:val="21"/>
          <w:lang w:eastAsia="zh-CN"/>
          <w14:textFill>
            <w14:solidFill>
              <w14:schemeClr w14:val="tx1"/>
            </w14:solidFill>
          </w14:textFill>
        </w:rPr>
        <w:t>组成明细</w:t>
      </w:r>
      <w:r>
        <w:rPr>
          <w:rFonts w:hint="eastAsia" w:ascii="宋体" w:hAnsi="宋体"/>
          <w:color w:val="000000" w:themeColor="text1"/>
          <w:sz w:val="21"/>
          <w:szCs w:val="21"/>
          <w14:textFill>
            <w14:solidFill>
              <w14:schemeClr w14:val="tx1"/>
            </w14:solidFill>
          </w14:textFill>
        </w:rPr>
        <w:t>。</w:t>
      </w:r>
    </w:p>
    <w:p>
      <w:pPr>
        <w:ind w:firstLine="424" w:firstLineChars="202"/>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3、中标人必须自行考虑在本项目实施期间的一切可能产生的费用，在项目的实施过程中，采购人将不再另行支付与本项目相关的任何费用（合同另有约定的除外）。</w:t>
      </w:r>
    </w:p>
    <w:p>
      <w:pPr>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4、提交相关工商及防治类资质文件复印件</w:t>
      </w:r>
    </w:p>
    <w:p>
      <w:pPr>
        <w:ind w:firstLine="424" w:firstLineChars="202"/>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5、须提交近三年相关业绩证明材料复印件</w:t>
      </w:r>
    </w:p>
    <w:p>
      <w:pPr>
        <w:ind w:firstLine="424" w:firstLineChars="202"/>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6、所有报价材料均须加盖公章，并注明联系方式</w:t>
      </w:r>
    </w:p>
    <w:p>
      <w:pPr>
        <w:pStyle w:val="2"/>
        <w:numPr>
          <w:ilvl w:val="0"/>
          <w:numId w:val="0"/>
        </w:numPr>
        <w:ind w:left="1134"/>
        <w:rPr>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5F1972"/>
    <w:multiLevelType w:val="multilevel"/>
    <w:tmpl w:val="325F1972"/>
    <w:lvl w:ilvl="0" w:tentative="0">
      <w:start w:val="1"/>
      <w:numFmt w:val="decimal"/>
      <w:lvlText w:val="（%1）"/>
      <w:lvlJc w:val="left"/>
      <w:pPr>
        <w:tabs>
          <w:tab w:val="left" w:pos="0"/>
        </w:tabs>
        <w:ind w:left="840" w:hanging="420"/>
      </w:pPr>
      <w:rPr>
        <w:rFonts w:hint="eastAsia"/>
      </w:rPr>
    </w:lvl>
    <w:lvl w:ilvl="1" w:tentative="0">
      <w:start w:val="1"/>
      <w:numFmt w:val="decimal"/>
      <w:lvlText w:val="%2."/>
      <w:lvlJc w:val="left"/>
      <w:pPr>
        <w:tabs>
          <w:tab w:val="left" w:pos="846"/>
        </w:tabs>
        <w:ind w:left="846" w:hanging="420"/>
      </w:pPr>
      <w:rPr>
        <w:rFonts w:hint="eastAsia"/>
      </w:rPr>
    </w:lvl>
    <w:lvl w:ilvl="2" w:tentative="0">
      <w:start w:val="9"/>
      <w:numFmt w:val="japaneseCounting"/>
      <w:lvlText w:val="%3、"/>
      <w:lvlJc w:val="left"/>
      <w:pPr>
        <w:tabs>
          <w:tab w:val="left" w:pos="0"/>
        </w:tabs>
        <w:ind w:left="1560" w:hanging="720"/>
      </w:pPr>
      <w:rPr>
        <w:rFonts w:hint="default"/>
      </w:rPr>
    </w:lvl>
    <w:lvl w:ilvl="3" w:tentative="0">
      <w:start w:val="1"/>
      <w:numFmt w:val="decimalEnclosedCircle"/>
      <w:lvlText w:val="%4"/>
      <w:lvlJc w:val="left"/>
      <w:pPr>
        <w:tabs>
          <w:tab w:val="left" w:pos="0"/>
        </w:tabs>
        <w:ind w:left="1620" w:hanging="360"/>
      </w:pPr>
      <w:rPr>
        <w:rFonts w:hint="default"/>
      </w:r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3D25EF2A"/>
    <w:multiLevelType w:val="singleLevel"/>
    <w:tmpl w:val="3D25EF2A"/>
    <w:lvl w:ilvl="0" w:tentative="0">
      <w:start w:val="3"/>
      <w:numFmt w:val="chineseCounting"/>
      <w:suff w:val="nothing"/>
      <w:lvlText w:val="%1、"/>
      <w:lvlJc w:val="left"/>
      <w:rPr>
        <w:rFonts w:hint="eastAsia"/>
      </w:rPr>
    </w:lvl>
  </w:abstractNum>
  <w:abstractNum w:abstractNumId="2">
    <w:nsid w:val="47636828"/>
    <w:multiLevelType w:val="multilevel"/>
    <w:tmpl w:val="4763682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decimal"/>
      <w:lvlText w:val="%3、"/>
      <w:lvlJc w:val="left"/>
      <w:pPr>
        <w:ind w:left="3114" w:hanging="420"/>
      </w:pPr>
      <w:rPr>
        <w:rFonts w:hint="eastAsia"/>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B085EAE"/>
    <w:multiLevelType w:val="multilevel"/>
    <w:tmpl w:val="6B085EAE"/>
    <w:lvl w:ilvl="0" w:tentative="0">
      <w:start w:val="1"/>
      <w:numFmt w:val="decimal"/>
      <w:lvlText w:val="%1"/>
      <w:lvlJc w:val="left"/>
      <w:pPr>
        <w:ind w:left="425" w:hanging="425"/>
      </w:pPr>
      <w:rPr>
        <w:rFonts w:hint="eastAsia"/>
      </w:rPr>
    </w:lvl>
    <w:lvl w:ilvl="1" w:tentative="0">
      <w:start w:val="1"/>
      <w:numFmt w:val="chineseCountingThousand"/>
      <w:pStyle w:val="2"/>
      <w:lvlText w:val="%2"/>
      <w:lvlJc w:val="left"/>
      <w:pPr>
        <w:ind w:left="1134" w:hanging="794"/>
      </w:pPr>
      <w:rPr>
        <w:rFonts w:hint="eastAsia"/>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A9"/>
    <w:rsid w:val="000336DD"/>
    <w:rsid w:val="00037847"/>
    <w:rsid w:val="000C4891"/>
    <w:rsid w:val="000E36D2"/>
    <w:rsid w:val="001323C0"/>
    <w:rsid w:val="00144F2B"/>
    <w:rsid w:val="00181F48"/>
    <w:rsid w:val="001D072C"/>
    <w:rsid w:val="001E4D3F"/>
    <w:rsid w:val="00263621"/>
    <w:rsid w:val="00285713"/>
    <w:rsid w:val="002A24C6"/>
    <w:rsid w:val="00383CBF"/>
    <w:rsid w:val="003B5887"/>
    <w:rsid w:val="00492F28"/>
    <w:rsid w:val="004F7663"/>
    <w:rsid w:val="00502046"/>
    <w:rsid w:val="00554BC9"/>
    <w:rsid w:val="00584EE6"/>
    <w:rsid w:val="00611FC7"/>
    <w:rsid w:val="006E1027"/>
    <w:rsid w:val="006E2719"/>
    <w:rsid w:val="007427B4"/>
    <w:rsid w:val="00745401"/>
    <w:rsid w:val="007974A9"/>
    <w:rsid w:val="007B1B80"/>
    <w:rsid w:val="007B52BB"/>
    <w:rsid w:val="007D4E06"/>
    <w:rsid w:val="008F334F"/>
    <w:rsid w:val="009237B9"/>
    <w:rsid w:val="00924C11"/>
    <w:rsid w:val="009307F0"/>
    <w:rsid w:val="009A1DC0"/>
    <w:rsid w:val="00A11EED"/>
    <w:rsid w:val="00A276A4"/>
    <w:rsid w:val="00A37CEB"/>
    <w:rsid w:val="00A4634B"/>
    <w:rsid w:val="00B825E3"/>
    <w:rsid w:val="00BD6050"/>
    <w:rsid w:val="00BF23F2"/>
    <w:rsid w:val="00BF57FB"/>
    <w:rsid w:val="00C433E7"/>
    <w:rsid w:val="00C61A8C"/>
    <w:rsid w:val="00CA5729"/>
    <w:rsid w:val="00CA63A5"/>
    <w:rsid w:val="00DC074C"/>
    <w:rsid w:val="00DF62A6"/>
    <w:rsid w:val="00E45288"/>
    <w:rsid w:val="00EA1B55"/>
    <w:rsid w:val="00ED38DF"/>
    <w:rsid w:val="00F438A5"/>
    <w:rsid w:val="00F5580A"/>
    <w:rsid w:val="00F64000"/>
    <w:rsid w:val="00FB2EE7"/>
    <w:rsid w:val="00FB7656"/>
    <w:rsid w:val="0FBF4375"/>
    <w:rsid w:val="1EA4219E"/>
    <w:rsid w:val="2026404E"/>
    <w:rsid w:val="21F4168E"/>
    <w:rsid w:val="22A54529"/>
    <w:rsid w:val="459E5F86"/>
    <w:rsid w:val="555C23F8"/>
    <w:rsid w:val="56775E70"/>
    <w:rsid w:val="582C69BF"/>
    <w:rsid w:val="76330EF7"/>
    <w:rsid w:val="7BE45876"/>
    <w:rsid w:val="7FEB5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0"/>
      <w:sz w:val="21"/>
      <w:szCs w:val="28"/>
      <w:lang w:val="en-US" w:eastAsia="zh-CN" w:bidi="ar-SA"/>
    </w:rPr>
  </w:style>
  <w:style w:type="paragraph" w:styleId="3">
    <w:name w:val="heading 1"/>
    <w:basedOn w:val="1"/>
    <w:next w:val="1"/>
    <w:link w:val="17"/>
    <w:qFormat/>
    <w:uiPriority w:val="9"/>
    <w:pPr>
      <w:keepNext/>
      <w:keepLines/>
      <w:outlineLvl w:val="0"/>
    </w:pPr>
    <w:rPr>
      <w:b/>
      <w:bCs/>
      <w:kern w:val="44"/>
      <w:sz w:val="32"/>
      <w:szCs w:val="44"/>
    </w:rPr>
  </w:style>
  <w:style w:type="paragraph" w:styleId="2">
    <w:name w:val="heading 2"/>
    <w:basedOn w:val="1"/>
    <w:next w:val="1"/>
    <w:link w:val="12"/>
    <w:unhideWhenUsed/>
    <w:qFormat/>
    <w:uiPriority w:val="9"/>
    <w:pPr>
      <w:keepNext/>
      <w:keepLines/>
      <w:numPr>
        <w:ilvl w:val="1"/>
        <w:numId w:val="1"/>
      </w:numPr>
      <w:snapToGrid w:val="0"/>
      <w:ind w:left="0" w:firstLine="0" w:firstLineChars="0"/>
      <w:outlineLvl w:val="1"/>
    </w:pPr>
    <w:rPr>
      <w:rFonts w:asciiTheme="majorHAnsi" w:hAnsiTheme="majorHAnsi" w:eastAsiaTheme="majorEastAsia" w:cstheme="majorBidi"/>
      <w:b/>
      <w:bCs/>
      <w:sz w:val="28"/>
      <w:szCs w:val="32"/>
    </w:rPr>
  </w:style>
  <w:style w:type="paragraph" w:styleId="4">
    <w:name w:val="heading 3"/>
    <w:basedOn w:val="1"/>
    <w:next w:val="1"/>
    <w:link w:val="18"/>
    <w:unhideWhenUsed/>
    <w:qFormat/>
    <w:uiPriority w:val="9"/>
    <w:pPr>
      <w:keepNext/>
      <w:keepLines/>
      <w:numPr>
        <w:ilvl w:val="2"/>
        <w:numId w:val="1"/>
      </w:numPr>
      <w:spacing w:before="260" w:after="260" w:line="416" w:lineRule="auto"/>
      <w:ind w:firstLine="0" w:firstLineChars="0"/>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0"/>
    <w:qFormat/>
    <w:uiPriority w:val="0"/>
    <w:pPr>
      <w:spacing w:line="240" w:lineRule="auto"/>
      <w:ind w:firstLine="420" w:firstLineChars="0"/>
    </w:pPr>
    <w:rPr>
      <w:kern w:val="2"/>
      <w:szCs w:val="20"/>
    </w:rPr>
  </w:style>
  <w:style w:type="paragraph" w:styleId="6">
    <w:name w:val="Plain Text"/>
    <w:basedOn w:val="1"/>
    <w:link w:val="15"/>
    <w:qFormat/>
    <w:uiPriority w:val="0"/>
    <w:rPr>
      <w:rFonts w:ascii="宋体" w:hAnsi="Courier New"/>
      <w:kern w:val="2"/>
      <w:szCs w:val="20"/>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16"/>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2">
    <w:name w:val="标题 2 Char"/>
    <w:basedOn w:val="11"/>
    <w:link w:val="2"/>
    <w:qFormat/>
    <w:uiPriority w:val="9"/>
    <w:rPr>
      <w:rFonts w:asciiTheme="majorHAnsi" w:hAnsiTheme="majorHAnsi" w:eastAsiaTheme="majorEastAsia" w:cstheme="majorBidi"/>
      <w:b/>
      <w:bCs/>
      <w:kern w:val="0"/>
      <w:sz w:val="28"/>
      <w:szCs w:val="32"/>
    </w:rPr>
  </w:style>
  <w:style w:type="character" w:customStyle="1" w:styleId="13">
    <w:name w:val="页眉 Char"/>
    <w:basedOn w:val="11"/>
    <w:link w:val="8"/>
    <w:qFormat/>
    <w:uiPriority w:val="99"/>
    <w:rPr>
      <w:rFonts w:ascii="Times New Roman" w:hAnsi="Times New Roman" w:eastAsia="宋体" w:cs="Times New Roman"/>
      <w:kern w:val="0"/>
      <w:sz w:val="18"/>
      <w:szCs w:val="18"/>
    </w:rPr>
  </w:style>
  <w:style w:type="character" w:customStyle="1" w:styleId="14">
    <w:name w:val="页脚 Char"/>
    <w:basedOn w:val="11"/>
    <w:link w:val="7"/>
    <w:qFormat/>
    <w:uiPriority w:val="99"/>
    <w:rPr>
      <w:rFonts w:ascii="Times New Roman" w:hAnsi="Times New Roman" w:eastAsia="宋体" w:cs="Times New Roman"/>
      <w:kern w:val="0"/>
      <w:sz w:val="18"/>
      <w:szCs w:val="18"/>
    </w:rPr>
  </w:style>
  <w:style w:type="character" w:customStyle="1" w:styleId="15">
    <w:name w:val="纯文本 Char"/>
    <w:basedOn w:val="11"/>
    <w:link w:val="6"/>
    <w:qFormat/>
    <w:uiPriority w:val="0"/>
    <w:rPr>
      <w:rFonts w:ascii="宋体" w:hAnsi="Courier New" w:eastAsia="宋体" w:cs="Times New Roman"/>
      <w:szCs w:val="20"/>
    </w:rPr>
  </w:style>
  <w:style w:type="character" w:customStyle="1" w:styleId="16">
    <w:name w:val="标题 Char"/>
    <w:basedOn w:val="11"/>
    <w:link w:val="9"/>
    <w:qFormat/>
    <w:uiPriority w:val="10"/>
    <w:rPr>
      <w:rFonts w:asciiTheme="majorHAnsi" w:hAnsiTheme="majorHAnsi" w:eastAsiaTheme="majorEastAsia" w:cstheme="majorBidi"/>
      <w:b/>
      <w:bCs/>
      <w:kern w:val="0"/>
      <w:sz w:val="32"/>
      <w:szCs w:val="32"/>
    </w:rPr>
  </w:style>
  <w:style w:type="character" w:customStyle="1" w:styleId="17">
    <w:name w:val="标题 1 Char"/>
    <w:basedOn w:val="11"/>
    <w:link w:val="3"/>
    <w:qFormat/>
    <w:uiPriority w:val="9"/>
    <w:rPr>
      <w:rFonts w:ascii="Times New Roman" w:hAnsi="Times New Roman" w:eastAsia="宋体" w:cs="Times New Roman"/>
      <w:b/>
      <w:bCs/>
      <w:kern w:val="44"/>
      <w:sz w:val="32"/>
      <w:szCs w:val="44"/>
    </w:rPr>
  </w:style>
  <w:style w:type="character" w:customStyle="1" w:styleId="18">
    <w:name w:val="标题 3 Char"/>
    <w:basedOn w:val="11"/>
    <w:link w:val="4"/>
    <w:qFormat/>
    <w:uiPriority w:val="9"/>
    <w:rPr>
      <w:rFonts w:ascii="Times New Roman" w:hAnsi="Times New Roman" w:eastAsia="仿宋" w:cs="Times New Roman"/>
      <w:b/>
      <w:bCs/>
      <w:kern w:val="0"/>
      <w:sz w:val="32"/>
      <w:szCs w:val="32"/>
    </w:rPr>
  </w:style>
  <w:style w:type="paragraph" w:styleId="19">
    <w:name w:val="List Paragraph"/>
    <w:basedOn w:val="1"/>
    <w:qFormat/>
    <w:uiPriority w:val="34"/>
    <w:pPr>
      <w:ind w:firstLine="420"/>
    </w:pPr>
  </w:style>
  <w:style w:type="character" w:customStyle="1" w:styleId="20">
    <w:name w:val="正文缩进 Char"/>
    <w:link w:val="5"/>
    <w:qFormat/>
    <w:uiPriority w:val="0"/>
    <w:rPr>
      <w:rFonts w:ascii="Times New Roman" w:hAnsi="Times New Roman" w:eastAsia="宋体" w:cs="Times New Roman"/>
      <w:szCs w:val="20"/>
    </w:rPr>
  </w:style>
  <w:style w:type="paragraph" w:customStyle="1" w:styleId="21">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F33AE9-0A49-4C1B-BDA5-2450CB50B8C7}">
  <ds:schemaRefs/>
</ds:datastoreItem>
</file>

<file path=docProps/app.xml><?xml version="1.0" encoding="utf-8"?>
<Properties xmlns="http://schemas.openxmlformats.org/officeDocument/2006/extended-properties" xmlns:vt="http://schemas.openxmlformats.org/officeDocument/2006/docPropsVTypes">
  <Template>Normal</Template>
  <Pages>4</Pages>
  <Words>3148</Words>
  <Characters>3205</Characters>
  <Lines>22</Lines>
  <Paragraphs>6</Paragraphs>
  <TotalTime>15</TotalTime>
  <ScaleCrop>false</ScaleCrop>
  <LinksUpToDate>false</LinksUpToDate>
  <CharactersWithSpaces>3211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2022-04-13T08:31:00Z</dcterms:created>
  <dc:creator>Administrator</dc:creator>
  <cp:lastModifiedBy>文艺小清新</cp:lastModifiedBy>
  <dcterms:modified xsi:type="dcterms:W3CDTF">2022-04-29T08:05:36Z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B58936553A6C47ABA87D2CC3CCA8DD0D</vt:lpwstr>
  </property>
</Properties>
</file>