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446" w:firstLineChars="101"/>
        <w:jc w:val="center"/>
        <w:textAlignment w:val="auto"/>
        <w:rPr>
          <w:rFonts w:hint="default" w:eastAsia="宋体"/>
          <w:b/>
          <w:color w:val="auto"/>
          <w:sz w:val="44"/>
          <w:szCs w:val="44"/>
          <w:lang w:val="en-US" w:eastAsia="zh-CN"/>
        </w:rPr>
      </w:pPr>
      <w:r>
        <w:rPr>
          <w:rFonts w:hint="eastAsia"/>
          <w:b/>
          <w:color w:val="auto"/>
          <w:sz w:val="44"/>
          <w:szCs w:val="44"/>
          <w:lang w:val="en-US" w:eastAsia="zh-CN"/>
        </w:rPr>
        <w:t>用户需求书</w:t>
      </w:r>
    </w:p>
    <w:p>
      <w:pPr>
        <w:pStyle w:val="6"/>
        <w:numPr>
          <w:ilvl w:val="0"/>
          <w:numId w:val="0"/>
        </w:numPr>
        <w:adjustRightInd w:val="0"/>
        <w:snapToGrid w:val="0"/>
        <w:spacing w:line="360" w:lineRule="auto"/>
        <w:ind w:leftChars="-405"/>
        <w:rPr>
          <w:rFonts w:hint="eastAsia" w:hAnsi="宋体"/>
          <w:b/>
          <w:sz w:val="24"/>
          <w:szCs w:val="24"/>
        </w:rPr>
      </w:pPr>
    </w:p>
    <w:p>
      <w:pPr>
        <w:pStyle w:val="6"/>
        <w:numPr>
          <w:ilvl w:val="0"/>
          <w:numId w:val="1"/>
        </w:numPr>
        <w:adjustRightInd w:val="0"/>
        <w:snapToGrid w:val="0"/>
        <w:spacing w:line="360" w:lineRule="auto"/>
        <w:ind w:left="0" w:leftChars="0" w:firstLine="420" w:firstLineChars="0"/>
        <w:rPr>
          <w:rFonts w:hAnsi="宋体"/>
          <w:b/>
          <w:sz w:val="28"/>
          <w:szCs w:val="28"/>
        </w:rPr>
      </w:pPr>
      <w:r>
        <w:rPr>
          <w:rFonts w:hint="eastAsia" w:hAnsi="宋体"/>
          <w:b/>
          <w:sz w:val="28"/>
          <w:szCs w:val="28"/>
          <w:lang w:val="en-US" w:eastAsia="zh-CN"/>
        </w:rPr>
        <w:t>采购人</w:t>
      </w:r>
      <w:r>
        <w:rPr>
          <w:rFonts w:hint="eastAsia" w:hAnsi="宋体"/>
          <w:b/>
          <w:sz w:val="28"/>
          <w:szCs w:val="28"/>
        </w:rPr>
        <w:t>需求</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广东科学中心20</w:t>
      </w: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年度</w:t>
      </w:r>
      <w:r>
        <w:rPr>
          <w:rFonts w:hint="eastAsia" w:asciiTheme="minorEastAsia" w:hAnsiTheme="minorEastAsia" w:eastAsiaTheme="minorEastAsia" w:cstheme="minorEastAsia"/>
          <w:color w:val="auto"/>
          <w:sz w:val="21"/>
          <w:szCs w:val="21"/>
          <w:lang w:val="en-US" w:eastAsia="zh-CN"/>
        </w:rPr>
        <w:t>零星项目</w:t>
      </w:r>
      <w:r>
        <w:rPr>
          <w:rFonts w:hint="eastAsia" w:asciiTheme="minorEastAsia" w:hAnsiTheme="minorEastAsia" w:eastAsiaTheme="minorEastAsia" w:cstheme="minorEastAsia"/>
          <w:color w:val="auto"/>
          <w:sz w:val="21"/>
          <w:szCs w:val="21"/>
        </w:rPr>
        <w:t>造价咨询服务</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服务类别</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建筑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展项</w:t>
      </w:r>
      <w:r>
        <w:rPr>
          <w:rFonts w:hint="eastAsia" w:asciiTheme="minorEastAsia" w:hAnsiTheme="minorEastAsia" w:eastAsiaTheme="minorEastAsia" w:cstheme="minorEastAsia"/>
          <w:color w:val="auto"/>
          <w:sz w:val="21"/>
          <w:szCs w:val="21"/>
          <w:lang w:eastAsia="zh-CN"/>
        </w:rPr>
        <w:t>等零星</w:t>
      </w:r>
      <w:r>
        <w:rPr>
          <w:rFonts w:hint="eastAsia" w:asciiTheme="minorEastAsia" w:hAnsiTheme="minorEastAsia" w:eastAsiaTheme="minorEastAsia" w:cstheme="minorEastAsia"/>
          <w:color w:val="auto"/>
          <w:sz w:val="21"/>
          <w:szCs w:val="21"/>
        </w:rPr>
        <w:t>工程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2万以上</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造价预算编制或审核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结算审核</w:t>
      </w:r>
      <w:r>
        <w:rPr>
          <w:rFonts w:hint="eastAsia" w:asciiTheme="minorEastAsia" w:hAnsiTheme="minorEastAsia" w:eastAsiaTheme="minorEastAsia" w:cstheme="minorEastAsia"/>
          <w:color w:val="auto"/>
          <w:sz w:val="21"/>
          <w:szCs w:val="21"/>
          <w:lang w:eastAsia="zh-CN"/>
        </w:rPr>
        <w:t>等相关咨询服务</w:t>
      </w:r>
      <w:r>
        <w:rPr>
          <w:rFonts w:hint="eastAsia" w:asciiTheme="minorEastAsia" w:hAnsiTheme="minorEastAsia" w:eastAsiaTheme="minorEastAsia" w:cstheme="minorEastAsia"/>
          <w:color w:val="auto"/>
          <w:sz w:val="21"/>
          <w:szCs w:val="21"/>
        </w:rPr>
        <w:t>。</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项目地点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广东科学中心</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服务期限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日—20</w:t>
      </w: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31</w:t>
      </w:r>
      <w:r>
        <w:rPr>
          <w:rFonts w:hint="eastAsia" w:asciiTheme="minorEastAsia" w:hAnsiTheme="minorEastAsia" w:eastAsiaTheme="minorEastAsia" w:cstheme="minorEastAsia"/>
          <w:color w:val="auto"/>
          <w:sz w:val="21"/>
          <w:szCs w:val="21"/>
        </w:rPr>
        <w:t>日</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lang w:eastAsia="zh-CN"/>
        </w:rPr>
      </w:pPr>
      <w:r>
        <w:rPr>
          <w:rFonts w:hint="eastAsia"/>
          <w:lang w:eastAsia="zh-CN"/>
        </w:rPr>
        <w:t>项目预算金额：</w:t>
      </w:r>
      <w:r>
        <w:rPr>
          <w:rFonts w:hint="eastAsia"/>
          <w:lang w:val="en-US" w:eastAsia="zh-CN"/>
        </w:rPr>
        <w:t>25</w:t>
      </w:r>
      <w:r>
        <w:rPr>
          <w:rFonts w:hint="eastAsia"/>
          <w:lang w:eastAsia="zh-CN"/>
        </w:rPr>
        <w:t>万元。</w:t>
      </w:r>
    </w:p>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服务要求：</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供应商应熟悉国家、省、市有关部门关于财政投资及造价管理方面的法律、法规及相关政策，并有丰富的预、结算编审经验。</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应根据有关规定，本着为政府合理节约投资的原则，科学、客观、公正地开展编审工作；同时按采购人的要求，按时按质提供编制成果或审核报告，对编制成果或审核报告的真实性、准确性负责，并负有保密责任。</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供应商须确保参与本采购项目服务团队人员稳定和专职专责。</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供应商提供服务团队人员应满足以下要求或具有更优的条件：</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①　专业类别齐全，具有相应中级或以上级别专业职称及资格证书。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②　专业类别包括土建、安装、装饰、市政、园林绿化等专业。</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③　专职服务于采购人业务，其中：注册造价工程师数量应达到 1 人及以上；其他人员均应依法具有建设工程造价员资格证书（含行业内部造价员证） 或相应造价从业资格证书。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④　供应商需提供上述专职从事编审工作的人员名单，人员更换需书面告知采购人，未经采购人同意不得更换。</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lang w:eastAsia="zh-CN"/>
        </w:rPr>
        <w:t>具有良好的市场诚信、商业信誉和健全的财务会计制度，具有健全的组织机构，完善的内部规章制度和严格的质量保证体系，拥有足够的人力、财力和服务能力等资源保证按时按质按量完成委托的造价咨询业务，具备相应的硬件、软件、交通支持。</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供应商必须独立完成采购人委托的编审任务，不得将编审业务转让给第三方完成，并能按采购人的要求定期做好已完成项目的相关资料的移交和归档工作。</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服务响应要求：供应商必须向采购人指定工作负责人，与采购人联系接收有关资料，并在接收资料后 1 个工作日内开始计算审核时间。</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供应商必须严格遵守采购人提出的各项规章制度和廉政纪律要求。</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供应商应提供企业内部管理规章制度内容（包括企业内部工作流程；企业内部质量控制体系、企业内部业务档案管理制度、企业内部财务管理制度等）。</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供应商应配备满足造价咨询服务所需的软、硬件及一切相关的书籍、文件等资料。</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审核时限要求：一般情况下，供应商在收齐编审项目主要资料之日起按下表规定的时限内出具评审初步意见。</w:t>
      </w:r>
    </w:p>
    <w:tbl>
      <w:tblPr>
        <w:tblStyle w:val="11"/>
        <w:tblW w:w="0" w:type="auto"/>
        <w:tblInd w:w="1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4016"/>
        <w:gridCol w:w="3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17" w:type="dxa"/>
          </w:tcPr>
          <w:p>
            <w:pPr>
              <w:pStyle w:val="22"/>
              <w:numPr>
                <w:ilvl w:val="0"/>
                <w:numId w:val="0"/>
              </w:numPr>
              <w:spacing w:before="22" w:line="360" w:lineRule="auto"/>
              <w:ind w:leftChars="0" w:right="81" w:right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4016" w:type="dxa"/>
          </w:tcPr>
          <w:p>
            <w:pPr>
              <w:pStyle w:val="22"/>
              <w:numPr>
                <w:ilvl w:val="0"/>
                <w:numId w:val="0"/>
              </w:numPr>
              <w:spacing w:before="22" w:line="360" w:lineRule="auto"/>
              <w:ind w:leftChars="0"/>
              <w:jc w:val="center"/>
              <w:rPr>
                <w:rFonts w:hint="eastAsia" w:ascii="宋体" w:hAnsi="宋体" w:eastAsia="宋体" w:cs="宋体"/>
                <w:sz w:val="21"/>
                <w:szCs w:val="21"/>
                <w:lang w:eastAsia="zh-CN"/>
              </w:rPr>
            </w:pPr>
            <w:r>
              <w:rPr>
                <w:rFonts w:hint="eastAsia" w:ascii="宋体" w:hAnsi="宋体" w:eastAsia="宋体" w:cs="宋体"/>
                <w:sz w:val="21"/>
                <w:szCs w:val="21"/>
              </w:rPr>
              <w:t>编制或审核预算</w:t>
            </w:r>
            <w:r>
              <w:rPr>
                <w:rFonts w:hint="eastAsia" w:ascii="宋体" w:hAnsi="宋体" w:eastAsia="宋体" w:cs="宋体"/>
                <w:sz w:val="21"/>
                <w:szCs w:val="21"/>
                <w:lang w:eastAsia="zh-CN"/>
              </w:rPr>
              <w:t>、结算项目规模</w:t>
            </w:r>
          </w:p>
        </w:tc>
        <w:tc>
          <w:tcPr>
            <w:tcW w:w="3353" w:type="dxa"/>
          </w:tcPr>
          <w:p>
            <w:pPr>
              <w:pStyle w:val="22"/>
              <w:numPr>
                <w:ilvl w:val="0"/>
                <w:numId w:val="0"/>
              </w:numPr>
              <w:spacing w:before="22" w:line="360" w:lineRule="auto"/>
              <w:ind w:leftChars="0" w:right="905" w:rightChars="0"/>
              <w:jc w:val="center"/>
              <w:rPr>
                <w:rFonts w:hint="eastAsia" w:ascii="宋体" w:hAnsi="宋体" w:eastAsia="宋体" w:cs="宋体"/>
                <w:sz w:val="21"/>
                <w:szCs w:val="21"/>
              </w:rPr>
            </w:pPr>
            <w:r>
              <w:rPr>
                <w:rFonts w:hint="eastAsia" w:ascii="宋体" w:hAnsi="宋体" w:eastAsia="宋体" w:cs="宋体"/>
                <w:sz w:val="21"/>
                <w:szCs w:val="21"/>
              </w:rPr>
              <w:t>时限要求(天)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17" w:type="dxa"/>
          </w:tcPr>
          <w:p>
            <w:pPr>
              <w:pStyle w:val="22"/>
              <w:numPr>
                <w:ilvl w:val="0"/>
                <w:numId w:val="0"/>
              </w:numPr>
              <w:spacing w:before="12" w:line="360" w:lineRule="auto"/>
              <w:ind w:leftChars="0" w:right="64" w:rightChars="0"/>
              <w:jc w:val="center"/>
              <w:rPr>
                <w:rFonts w:hint="eastAsia" w:ascii="宋体" w:hAnsi="宋体" w:eastAsia="宋体" w:cs="宋体"/>
                <w:sz w:val="21"/>
                <w:szCs w:val="21"/>
              </w:rPr>
            </w:pPr>
            <w:r>
              <w:rPr>
                <w:rFonts w:hint="eastAsia" w:ascii="宋体" w:hAnsi="宋体" w:eastAsia="宋体" w:cs="宋体"/>
                <w:w w:val="99"/>
                <w:sz w:val="21"/>
                <w:szCs w:val="21"/>
              </w:rPr>
              <w:t>1</w:t>
            </w:r>
          </w:p>
        </w:tc>
        <w:tc>
          <w:tcPr>
            <w:tcW w:w="4016" w:type="dxa"/>
          </w:tcPr>
          <w:p>
            <w:pPr>
              <w:pStyle w:val="22"/>
              <w:numPr>
                <w:ilvl w:val="0"/>
                <w:numId w:val="0"/>
              </w:numPr>
              <w:spacing w:before="22" w:line="360" w:lineRule="auto"/>
              <w:ind w:leftChars="0"/>
              <w:jc w:val="center"/>
              <w:rPr>
                <w:rFonts w:hint="eastAsia" w:ascii="宋体" w:hAnsi="宋体" w:eastAsia="宋体" w:cs="宋体"/>
                <w:sz w:val="21"/>
                <w:szCs w:val="21"/>
              </w:rPr>
            </w:pPr>
            <w:r>
              <w:rPr>
                <w:rFonts w:hint="eastAsia" w:ascii="宋体" w:hAnsi="宋体" w:eastAsia="宋体" w:cs="宋体"/>
                <w:sz w:val="21"/>
                <w:szCs w:val="21"/>
              </w:rPr>
              <w:t>100万元以下（含100万元）</w:t>
            </w:r>
          </w:p>
        </w:tc>
        <w:tc>
          <w:tcPr>
            <w:tcW w:w="3353" w:type="dxa"/>
          </w:tcPr>
          <w:p>
            <w:pPr>
              <w:pStyle w:val="22"/>
              <w:numPr>
                <w:ilvl w:val="0"/>
                <w:numId w:val="0"/>
              </w:numPr>
              <w:spacing w:before="12" w:line="360" w:lineRule="auto"/>
              <w:ind w:leftChars="0" w:right="854"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17" w:type="dxa"/>
          </w:tcPr>
          <w:p>
            <w:pPr>
              <w:pStyle w:val="22"/>
              <w:numPr>
                <w:ilvl w:val="0"/>
                <w:numId w:val="0"/>
              </w:numPr>
              <w:spacing w:before="19" w:line="360" w:lineRule="auto"/>
              <w:ind w:leftChars="0" w:right="64" w:rightChars="0"/>
              <w:jc w:val="center"/>
              <w:rPr>
                <w:rFonts w:hint="eastAsia" w:ascii="宋体" w:hAnsi="宋体" w:eastAsia="宋体" w:cs="宋体"/>
                <w:sz w:val="21"/>
                <w:szCs w:val="21"/>
              </w:rPr>
            </w:pPr>
            <w:r>
              <w:rPr>
                <w:rFonts w:hint="eastAsia" w:ascii="宋体" w:hAnsi="宋体" w:eastAsia="宋体" w:cs="宋体"/>
                <w:w w:val="99"/>
                <w:sz w:val="21"/>
                <w:szCs w:val="21"/>
              </w:rPr>
              <w:t>2</w:t>
            </w:r>
          </w:p>
        </w:tc>
        <w:tc>
          <w:tcPr>
            <w:tcW w:w="4016" w:type="dxa"/>
          </w:tcPr>
          <w:p>
            <w:pPr>
              <w:pStyle w:val="22"/>
              <w:numPr>
                <w:ilvl w:val="0"/>
                <w:numId w:val="0"/>
              </w:numPr>
              <w:spacing w:before="22" w:line="360" w:lineRule="auto"/>
              <w:ind w:leftChars="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00万元至500万元（含500万元）</w:t>
            </w:r>
          </w:p>
        </w:tc>
        <w:tc>
          <w:tcPr>
            <w:tcW w:w="3353" w:type="dxa"/>
          </w:tcPr>
          <w:p>
            <w:pPr>
              <w:pStyle w:val="22"/>
              <w:numPr>
                <w:ilvl w:val="0"/>
                <w:numId w:val="0"/>
              </w:numPr>
              <w:spacing w:before="19" w:line="360" w:lineRule="auto"/>
              <w:ind w:leftChars="0" w:right="854"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17" w:type="dxa"/>
          </w:tcPr>
          <w:p>
            <w:pPr>
              <w:pStyle w:val="22"/>
              <w:numPr>
                <w:ilvl w:val="0"/>
                <w:numId w:val="0"/>
              </w:numPr>
              <w:spacing w:before="28" w:line="360" w:lineRule="auto"/>
              <w:ind w:leftChars="0" w:right="64" w:rightChars="0"/>
              <w:jc w:val="center"/>
              <w:rPr>
                <w:rFonts w:hint="eastAsia" w:ascii="宋体" w:hAnsi="宋体" w:eastAsia="宋体" w:cs="宋体"/>
                <w:sz w:val="21"/>
                <w:szCs w:val="21"/>
              </w:rPr>
            </w:pPr>
            <w:r>
              <w:rPr>
                <w:rFonts w:hint="eastAsia" w:ascii="宋体" w:hAnsi="宋体" w:eastAsia="宋体" w:cs="宋体"/>
                <w:w w:val="99"/>
                <w:sz w:val="21"/>
                <w:szCs w:val="21"/>
              </w:rPr>
              <w:t>3</w:t>
            </w:r>
          </w:p>
        </w:tc>
        <w:tc>
          <w:tcPr>
            <w:tcW w:w="4016" w:type="dxa"/>
          </w:tcPr>
          <w:p>
            <w:pPr>
              <w:pStyle w:val="22"/>
              <w:numPr>
                <w:ilvl w:val="0"/>
                <w:numId w:val="0"/>
              </w:numPr>
              <w:spacing w:before="22" w:line="360" w:lineRule="auto"/>
              <w:ind w:leftChars="0"/>
              <w:jc w:val="center"/>
              <w:rPr>
                <w:rFonts w:hint="eastAsia" w:ascii="宋体" w:hAnsi="宋体" w:eastAsia="宋体" w:cs="宋体"/>
                <w:sz w:val="21"/>
                <w:szCs w:val="21"/>
                <w:lang w:eastAsia="zh-CN"/>
              </w:rPr>
            </w:pPr>
            <w:r>
              <w:rPr>
                <w:rFonts w:hint="eastAsia" w:ascii="宋体" w:hAnsi="宋体" w:eastAsia="宋体" w:cs="宋体"/>
                <w:sz w:val="21"/>
                <w:szCs w:val="21"/>
              </w:rPr>
              <w:t>500万元以上</w:t>
            </w:r>
            <w:r>
              <w:rPr>
                <w:rFonts w:hint="eastAsia" w:ascii="宋体" w:hAnsi="宋体" w:eastAsia="宋体" w:cs="宋体"/>
                <w:sz w:val="21"/>
                <w:szCs w:val="21"/>
                <w:lang w:eastAsia="zh-CN"/>
              </w:rPr>
              <w:t>项目</w:t>
            </w:r>
          </w:p>
        </w:tc>
        <w:tc>
          <w:tcPr>
            <w:tcW w:w="3353" w:type="dxa"/>
          </w:tcPr>
          <w:p>
            <w:pPr>
              <w:pStyle w:val="22"/>
              <w:numPr>
                <w:ilvl w:val="0"/>
                <w:numId w:val="0"/>
              </w:numPr>
              <w:spacing w:before="28" w:line="360" w:lineRule="auto"/>
              <w:ind w:leftChars="0" w:right="854"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 xml:space="preserve"> 天</w:t>
            </w:r>
          </w:p>
        </w:tc>
      </w:tr>
    </w:tbl>
    <w:p>
      <w:pPr>
        <w:pStyle w:val="3"/>
        <w:numPr>
          <w:ilvl w:val="0"/>
          <w:numId w:val="0"/>
        </w:numPr>
        <w:spacing w:before="1" w:line="360" w:lineRule="auto"/>
        <w:ind w:leftChars="200"/>
        <w:rPr>
          <w:rFonts w:hint="eastAsia" w:ascii="宋体" w:hAnsi="宋体" w:eastAsia="宋体" w:cs="宋体"/>
          <w:sz w:val="20"/>
          <w:szCs w:val="20"/>
        </w:rPr>
      </w:pPr>
      <w:r>
        <w:rPr>
          <w:rFonts w:hint="eastAsia" w:ascii="宋体" w:hAnsi="宋体" w:eastAsia="宋体" w:cs="宋体"/>
          <w:sz w:val="20"/>
          <w:szCs w:val="20"/>
        </w:rPr>
        <w:t>注：1</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如因特殊情况需加快工作进度的，</w:t>
      </w:r>
      <w:r>
        <w:rPr>
          <w:rFonts w:hint="eastAsia" w:cs="宋体"/>
          <w:sz w:val="20"/>
          <w:szCs w:val="20"/>
          <w:lang w:eastAsia="zh-CN"/>
        </w:rPr>
        <w:t>供应商</w:t>
      </w:r>
      <w:r>
        <w:rPr>
          <w:rFonts w:hint="eastAsia" w:ascii="宋体" w:hAnsi="宋体" w:eastAsia="宋体" w:cs="宋体"/>
          <w:sz w:val="20"/>
          <w:szCs w:val="20"/>
        </w:rPr>
        <w:t>应采取切实有效的措施满足采购人的合理要求。</w:t>
      </w:r>
    </w:p>
    <w:p>
      <w:pPr>
        <w:pStyle w:val="3"/>
        <w:numPr>
          <w:ilvl w:val="0"/>
          <w:numId w:val="0"/>
        </w:numPr>
        <w:spacing w:before="1" w:line="360" w:lineRule="auto"/>
        <w:ind w:leftChars="200"/>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w:t>
      </w:r>
      <w:r>
        <w:rPr>
          <w:rFonts w:hint="eastAsia" w:ascii="宋体" w:hAnsi="宋体" w:eastAsia="宋体" w:cs="宋体"/>
          <w:sz w:val="20"/>
          <w:szCs w:val="20"/>
        </w:rPr>
        <w:t>特大型项目的概、预、结算编审，可根据实际情况，经采购人批准后适当延长审核时间。</w:t>
      </w:r>
    </w:p>
    <w:p>
      <w:pPr>
        <w:pStyle w:val="3"/>
        <w:numPr>
          <w:ilvl w:val="0"/>
          <w:numId w:val="0"/>
        </w:numPr>
        <w:spacing w:before="1" w:line="360" w:lineRule="auto"/>
        <w:ind w:leftChars="200"/>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eastAsia="zh-CN"/>
        </w:rPr>
        <w:t>）</w:t>
      </w:r>
      <w:r>
        <w:rPr>
          <w:rFonts w:hint="eastAsia" w:ascii="宋体" w:hAnsi="宋体" w:eastAsia="宋体" w:cs="宋体"/>
          <w:sz w:val="20"/>
          <w:szCs w:val="20"/>
        </w:rPr>
        <w:t>以上时限为完成造价成果文件的初稿时间，包括现场勘察、不含对数及复核后的修改时间。</w:t>
      </w:r>
    </w:p>
    <w:p>
      <w:pPr>
        <w:keepNext w:val="0"/>
        <w:keepLines w:val="0"/>
        <w:pageBreakBefore w:val="0"/>
        <w:numPr>
          <w:ilvl w:val="0"/>
          <w:numId w:val="3"/>
        </w:numPr>
        <w:tabs>
          <w:tab w:val="left" w:pos="426"/>
        </w:tabs>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档案管理要求：供应商应建立严格的项目档案管理制度，完整、准确、真实地反映和记录项目编审的情况，做好资料的归集、存档和保管工作，</w:t>
      </w:r>
      <w:r>
        <w:rPr>
          <w:rFonts w:hint="eastAsia" w:asciiTheme="minorEastAsia" w:hAnsiTheme="minorEastAsia" w:eastAsiaTheme="minorEastAsia" w:cstheme="minorEastAsia"/>
          <w:color w:val="auto"/>
          <w:sz w:val="21"/>
          <w:szCs w:val="21"/>
          <w:lang w:val="en-US" w:eastAsia="zh-CN"/>
        </w:rPr>
        <w:t>并移交采购人（含电子档案）。</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1"/>
          <w:szCs w:val="21"/>
          <w:lang w:eastAsia="zh-CN"/>
        </w:rPr>
      </w:pPr>
    </w:p>
    <w:p>
      <w:pPr>
        <w:pStyle w:val="6"/>
        <w:numPr>
          <w:ilvl w:val="0"/>
          <w:numId w:val="1"/>
        </w:numPr>
        <w:adjustRightInd w:val="0"/>
        <w:snapToGrid w:val="0"/>
        <w:spacing w:line="360" w:lineRule="auto"/>
        <w:ind w:left="0" w:leftChars="0" w:firstLine="420" w:firstLineChars="0"/>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val="en-US" w:eastAsia="zh-CN"/>
        </w:rPr>
        <w:t>供应商资格要求</w:t>
      </w:r>
    </w:p>
    <w:p>
      <w:pPr>
        <w:pStyle w:val="6"/>
        <w:numPr>
          <w:ilvl w:val="0"/>
          <w:numId w:val="0"/>
        </w:numPr>
        <w:adjustRightInd w:val="0"/>
        <w:snapToGrid w:val="0"/>
        <w:spacing w:line="360" w:lineRule="auto"/>
        <w:ind w:left="420" w:leftChars="0"/>
        <w:rPr>
          <w:rFonts w:hint="eastAsia" w:asciiTheme="minorEastAsia" w:hAnsiTheme="minorEastAsia" w:eastAsiaTheme="minorEastAsia" w:cstheme="minorEastAsia"/>
          <w:b/>
          <w:sz w:val="28"/>
          <w:szCs w:val="28"/>
          <w:lang w:eastAsia="zh-CN"/>
        </w:rPr>
      </w:pPr>
    </w:p>
    <w:p>
      <w:pPr>
        <w:pStyle w:val="6"/>
        <w:numPr>
          <w:ilvl w:val="0"/>
          <w:numId w:val="4"/>
        </w:numPr>
        <w:adjustRightInd w:val="0"/>
        <w:snapToGrid w:val="0"/>
        <w:spacing w:line="360" w:lineRule="auto"/>
        <w:ind w:left="425" w:leftChars="0" w:hanging="425" w:firstLine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供应商具有独立法人资格，持有工商行政管理部门核发的法人营业执照或事业单位登记管理部门核发的事业单位法人证书，按国家法律经营；</w:t>
      </w:r>
      <w:r>
        <w:rPr>
          <w:rFonts w:hint="eastAsia" w:asciiTheme="minorEastAsia" w:hAnsiTheme="minorEastAsia" w:eastAsiaTheme="minorEastAsia" w:cstheme="minorEastAsia"/>
          <w:b w:val="0"/>
          <w:bCs/>
          <w:sz w:val="21"/>
          <w:szCs w:val="21"/>
          <w:lang w:val="en-US" w:eastAsia="zh-CN"/>
        </w:rPr>
        <w:t>具有工程造价咨询企业资质证书。</w:t>
      </w:r>
    </w:p>
    <w:p>
      <w:pPr>
        <w:pStyle w:val="6"/>
        <w:numPr>
          <w:ilvl w:val="0"/>
          <w:numId w:val="4"/>
        </w:numPr>
        <w:adjustRightInd w:val="0"/>
        <w:snapToGrid w:val="0"/>
        <w:spacing w:line="360" w:lineRule="auto"/>
        <w:ind w:left="425" w:leftChars="0" w:hanging="425" w:firstLine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供应商拟派项目负责人须具备有效的注册造价工程师或注册一级造价工程师注册证，注册专业为土木建筑工程专业或安装工程专业，且在本单位注册。</w:t>
      </w:r>
    </w:p>
    <w:p>
      <w:pPr>
        <w:pStyle w:val="6"/>
        <w:numPr>
          <w:ilvl w:val="0"/>
          <w:numId w:val="0"/>
        </w:numPr>
        <w:adjustRightInd w:val="0"/>
        <w:snapToGrid w:val="0"/>
        <w:spacing w:line="360" w:lineRule="auto"/>
        <w:ind w:left="420" w:left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pStyle w:val="6"/>
        <w:numPr>
          <w:ilvl w:val="0"/>
          <w:numId w:val="4"/>
        </w:numPr>
        <w:adjustRightInd w:val="0"/>
        <w:snapToGrid w:val="0"/>
        <w:spacing w:line="360" w:lineRule="auto"/>
        <w:ind w:left="425" w:leftChars="0" w:hanging="425" w:firstLine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本次</w:t>
      </w:r>
      <w:r>
        <w:rPr>
          <w:rFonts w:hint="eastAsia" w:asciiTheme="minorEastAsia" w:hAnsiTheme="minorEastAsia" w:eastAsiaTheme="minorEastAsia" w:cstheme="minorEastAsia"/>
          <w:b w:val="0"/>
          <w:bCs/>
          <w:sz w:val="21"/>
          <w:szCs w:val="21"/>
          <w:lang w:val="en-US" w:eastAsia="zh-CN"/>
        </w:rPr>
        <w:t>采购</w:t>
      </w:r>
      <w:r>
        <w:rPr>
          <w:rFonts w:hint="eastAsia" w:asciiTheme="minorEastAsia" w:hAnsiTheme="minorEastAsia" w:eastAsiaTheme="minorEastAsia" w:cstheme="minorEastAsia"/>
          <w:b w:val="0"/>
          <w:bCs/>
          <w:sz w:val="21"/>
          <w:szCs w:val="21"/>
          <w:lang w:eastAsia="zh-CN"/>
        </w:rPr>
        <w:t>不接受联合体。</w:t>
      </w:r>
    </w:p>
    <w:p>
      <w:pPr>
        <w:pStyle w:val="6"/>
        <w:numPr>
          <w:ilvl w:val="0"/>
          <w:numId w:val="0"/>
        </w:numPr>
        <w:adjustRightInd w:val="0"/>
        <w:snapToGrid w:val="0"/>
        <w:spacing w:line="360" w:lineRule="auto"/>
        <w:ind w:leftChars="0"/>
        <w:rPr>
          <w:rFonts w:hint="eastAsia" w:asciiTheme="minorEastAsia" w:hAnsiTheme="minorEastAsia" w:eastAsiaTheme="minorEastAsia" w:cstheme="minorEastAsia"/>
          <w:b w:val="0"/>
          <w:bCs/>
          <w:sz w:val="21"/>
          <w:szCs w:val="21"/>
          <w:lang w:eastAsia="zh-CN"/>
        </w:rPr>
      </w:pPr>
    </w:p>
    <w:p>
      <w:pPr>
        <w:pStyle w:val="6"/>
        <w:numPr>
          <w:ilvl w:val="0"/>
          <w:numId w:val="1"/>
        </w:numPr>
        <w:adjustRightInd w:val="0"/>
        <w:snapToGrid w:val="0"/>
        <w:spacing w:line="360" w:lineRule="auto"/>
        <w:ind w:left="0" w:leftChars="0" w:firstLine="420" w:firstLineChars="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报价文件要求</w:t>
      </w:r>
    </w:p>
    <w:p>
      <w:pPr>
        <w:pStyle w:val="6"/>
        <w:numPr>
          <w:ilvl w:val="0"/>
          <w:numId w:val="0"/>
        </w:numPr>
        <w:adjustRightInd w:val="0"/>
        <w:snapToGrid w:val="0"/>
        <w:spacing w:line="360" w:lineRule="auto"/>
        <w:ind w:left="420" w:leftChars="0"/>
        <w:rPr>
          <w:rFonts w:hint="eastAsia" w:asciiTheme="minorEastAsia" w:hAnsiTheme="minorEastAsia" w:eastAsiaTheme="minorEastAsia" w:cstheme="minorEastAsia"/>
          <w:b/>
          <w:sz w:val="28"/>
          <w:szCs w:val="28"/>
          <w:lang w:val="en-US" w:eastAsia="zh-CN"/>
        </w:rPr>
      </w:pP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收费依据：按照广东省建设工程造价咨询服务收费项目和收费标准表（粤价函〔2011〕742号）号文要求，根据项目特征情况进行综合考虑计算，</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本次年度造价咨询服务费不以项目个数，仅按年度累计审核项目总额约3000万元（上下浮动10%）的规模（其中50万元以下零星小额项目数量占比为主的情况，详见附表1），以及每周2天安排至少一名工程造价中级资格以上的造价人员定期驻场服务（定期驻场服务天数暂按11个月*4周*每周2天=88天计算）</w:t>
      </w:r>
      <w:r>
        <w:rPr>
          <w:rFonts w:hint="eastAsia" w:hAnsi="宋体" w:cs="宋体"/>
          <w:b w:val="0"/>
          <w:bCs/>
          <w:sz w:val="21"/>
          <w:szCs w:val="21"/>
          <w:lang w:val="en-US" w:eastAsia="zh-CN"/>
        </w:rPr>
        <w:t>的</w:t>
      </w:r>
      <w:r>
        <w:rPr>
          <w:rFonts w:hint="eastAsia" w:ascii="宋体" w:hAnsi="宋体" w:eastAsia="宋体" w:cs="宋体"/>
          <w:b w:val="0"/>
          <w:bCs/>
          <w:sz w:val="21"/>
          <w:szCs w:val="21"/>
          <w:lang w:eastAsia="zh-CN"/>
        </w:rPr>
        <w:t>要求进行报价，报价为暂定固定总价形式：（3000万总额*综合费率）+（88天数*驻场人工</w:t>
      </w:r>
      <w:r>
        <w:rPr>
          <w:rFonts w:hint="eastAsia" w:hAnsi="宋体" w:cs="宋体"/>
          <w:b w:val="0"/>
          <w:bCs/>
          <w:sz w:val="21"/>
          <w:szCs w:val="21"/>
          <w:lang w:val="en-US" w:eastAsia="zh-CN"/>
        </w:rPr>
        <w:t>综合</w:t>
      </w:r>
      <w:r>
        <w:rPr>
          <w:rFonts w:hint="eastAsia" w:ascii="宋体" w:hAnsi="宋体" w:eastAsia="宋体" w:cs="宋体"/>
          <w:b w:val="0"/>
          <w:bCs/>
          <w:sz w:val="21"/>
          <w:szCs w:val="21"/>
          <w:lang w:eastAsia="zh-CN"/>
        </w:rPr>
        <w:t>单价）报价。</w:t>
      </w:r>
    </w:p>
    <w:p>
      <w:pPr>
        <w:pStyle w:val="6"/>
        <w:numPr>
          <w:ilvl w:val="0"/>
          <w:numId w:val="0"/>
        </w:numPr>
        <w:adjustRightInd w:val="0"/>
        <w:snapToGrid w:val="0"/>
        <w:spacing w:line="360" w:lineRule="auto"/>
        <w:ind w:leftChars="0"/>
        <w:rPr>
          <w:rFonts w:hint="eastAsia" w:ascii="宋体" w:hAnsi="宋体" w:eastAsia="宋体" w:cs="宋体"/>
          <w:b w:val="0"/>
          <w:bCs/>
          <w:sz w:val="21"/>
          <w:szCs w:val="21"/>
          <w:lang w:eastAsia="zh-CN"/>
        </w:rPr>
      </w:pPr>
    </w:p>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9"/>
        <w:gridCol w:w="1332"/>
        <w:gridCol w:w="1332"/>
        <w:gridCol w:w="1284"/>
        <w:gridCol w:w="1320"/>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469" w:type="dxa"/>
            <w:tcBorders>
              <w:top w:val="nil"/>
              <w:left w:val="nil"/>
              <w:bottom w:val="nil"/>
              <w:right w:val="nil"/>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附表1</w:t>
            </w:r>
          </w:p>
        </w:tc>
        <w:tc>
          <w:tcPr>
            <w:tcW w:w="7536" w:type="dxa"/>
            <w:gridSpan w:val="5"/>
            <w:tcBorders>
              <w:top w:val="nil"/>
              <w:left w:val="nil"/>
              <w:bottom w:val="nil"/>
              <w:right w:val="nil"/>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广东科学中心零星项目造价咨询审核情况表（2019-2021）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年份</w:t>
            </w:r>
          </w:p>
        </w:tc>
        <w:tc>
          <w:tcPr>
            <w:tcW w:w="52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送审项目数量</w:t>
            </w:r>
          </w:p>
        </w:tc>
        <w:tc>
          <w:tcPr>
            <w:tcW w:w="2268"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送审项目累计金额(元)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50万元以下</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50-100万元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100万以上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2268"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2019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w:t>
            </w:r>
          </w:p>
        </w:tc>
        <w:tc>
          <w:tcPr>
            <w:tcW w:w="226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44,000,976.39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226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31,259,807.27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91</w:t>
            </w:r>
          </w:p>
        </w:tc>
        <w:tc>
          <w:tcPr>
            <w:tcW w:w="226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line="240" w:lineRule="auto"/>
              <w:ind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38,314,443.57 </w:t>
            </w:r>
          </w:p>
        </w:tc>
      </w:tr>
    </w:tbl>
    <w:p>
      <w:pPr>
        <w:pStyle w:val="6"/>
        <w:numPr>
          <w:ilvl w:val="0"/>
          <w:numId w:val="0"/>
        </w:numPr>
        <w:adjustRightInd w:val="0"/>
        <w:snapToGrid w:val="0"/>
        <w:spacing w:line="360" w:lineRule="auto"/>
        <w:ind w:leftChars="0"/>
        <w:rPr>
          <w:rFonts w:hint="eastAsia" w:ascii="宋体" w:hAnsi="宋体" w:eastAsia="宋体" w:cs="宋体"/>
          <w:b w:val="0"/>
          <w:bCs/>
          <w:sz w:val="21"/>
          <w:szCs w:val="21"/>
          <w:lang w:eastAsia="zh-CN"/>
        </w:rPr>
      </w:pP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驻场人员应服从</w:t>
      </w:r>
      <w:r>
        <w:rPr>
          <w:rFonts w:hint="eastAsia" w:hAnsi="宋体" w:cs="宋体"/>
          <w:b w:val="0"/>
          <w:bCs/>
          <w:sz w:val="21"/>
          <w:szCs w:val="21"/>
          <w:lang w:val="en-US" w:eastAsia="zh-CN"/>
        </w:rPr>
        <w:t>采购</w:t>
      </w:r>
      <w:r>
        <w:rPr>
          <w:rFonts w:hint="eastAsia" w:ascii="宋体" w:hAnsi="宋体" w:eastAsia="宋体" w:cs="宋体"/>
          <w:b w:val="0"/>
          <w:bCs/>
          <w:sz w:val="21"/>
          <w:szCs w:val="21"/>
          <w:lang w:eastAsia="zh-CN"/>
        </w:rPr>
        <w:t>人管理和工作分配，具体以合同要求为准。</w:t>
      </w:r>
      <w:r>
        <w:rPr>
          <w:rFonts w:hint="eastAsia" w:hAnsi="宋体" w:cs="宋体"/>
          <w:b w:val="0"/>
          <w:bCs/>
          <w:sz w:val="21"/>
          <w:szCs w:val="21"/>
          <w:lang w:val="en-US" w:eastAsia="zh-CN"/>
        </w:rPr>
        <w:t>采购</w:t>
      </w:r>
      <w:r>
        <w:rPr>
          <w:rFonts w:hint="eastAsia" w:ascii="宋体" w:hAnsi="宋体" w:eastAsia="宋体" w:cs="宋体"/>
          <w:b w:val="0"/>
          <w:bCs/>
          <w:sz w:val="21"/>
          <w:szCs w:val="21"/>
          <w:lang w:eastAsia="zh-CN"/>
        </w:rPr>
        <w:t>人仅提供驻场人员办公场地，其他如办公设备、办公用品、就餐等自行解决，费用已包含在合同价款内。驻场人员</w:t>
      </w:r>
      <w:r>
        <w:rPr>
          <w:rFonts w:hint="eastAsia" w:hAnsi="宋体" w:cs="宋体"/>
          <w:b w:val="0"/>
          <w:bCs/>
          <w:sz w:val="21"/>
          <w:szCs w:val="21"/>
          <w:lang w:val="en-US" w:eastAsia="zh-CN"/>
        </w:rPr>
        <w:t>每周</w:t>
      </w:r>
      <w:r>
        <w:rPr>
          <w:rFonts w:hint="eastAsia" w:ascii="宋体" w:hAnsi="宋体" w:eastAsia="宋体" w:cs="宋体"/>
          <w:b w:val="0"/>
          <w:bCs/>
          <w:sz w:val="21"/>
          <w:szCs w:val="21"/>
          <w:lang w:eastAsia="zh-CN"/>
        </w:rPr>
        <w:t>驻场办公时间以</w:t>
      </w:r>
      <w:r>
        <w:rPr>
          <w:rFonts w:hint="eastAsia" w:hAnsi="宋体" w:cs="宋体"/>
          <w:b w:val="0"/>
          <w:bCs/>
          <w:sz w:val="21"/>
          <w:szCs w:val="21"/>
          <w:lang w:val="en-US" w:eastAsia="zh-CN"/>
        </w:rPr>
        <w:t>采购</w:t>
      </w:r>
      <w:r>
        <w:rPr>
          <w:rFonts w:hint="eastAsia" w:ascii="宋体" w:hAnsi="宋体" w:eastAsia="宋体" w:cs="宋体"/>
          <w:b w:val="0"/>
          <w:bCs/>
          <w:sz w:val="21"/>
          <w:szCs w:val="21"/>
          <w:lang w:eastAsia="zh-CN"/>
        </w:rPr>
        <w:t>人通知为准。</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项目结算方式：服务计费是基于壹年期内编制或审核造价累计总价在人民币3000万元以内。当累计总价在3000万元的正负10%以内，该部分咨询服务费不作调整；当累计总价在3000万元的正负10%以外的，该部分咨询服务费按</w:t>
      </w:r>
      <w:r>
        <w:rPr>
          <w:rFonts w:hint="eastAsia" w:hAnsi="宋体" w:cs="宋体"/>
          <w:b w:val="0"/>
          <w:bCs/>
          <w:sz w:val="21"/>
          <w:szCs w:val="21"/>
          <w:lang w:val="en-US" w:eastAsia="zh-CN"/>
        </w:rPr>
        <w:t>合同约定的</w:t>
      </w:r>
      <w:r>
        <w:rPr>
          <w:rFonts w:hint="eastAsia" w:ascii="宋体" w:hAnsi="宋体" w:eastAsia="宋体" w:cs="宋体"/>
          <w:b w:val="0"/>
          <w:bCs/>
          <w:sz w:val="21"/>
          <w:szCs w:val="21"/>
          <w:lang w:eastAsia="zh-CN"/>
        </w:rPr>
        <w:t>综合费率进行相应调整，驻场人员费用按实际驻场天数进行结算。</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若同一项目的预算、结算均由</w:t>
      </w:r>
      <w:r>
        <w:rPr>
          <w:rFonts w:hint="eastAsia" w:hAnsi="宋体" w:cs="宋体"/>
          <w:b w:val="0"/>
          <w:bCs/>
          <w:sz w:val="21"/>
          <w:szCs w:val="21"/>
          <w:lang w:eastAsia="zh-CN"/>
        </w:rPr>
        <w:t>供应商</w:t>
      </w:r>
      <w:r>
        <w:rPr>
          <w:rFonts w:hint="eastAsia" w:ascii="宋体" w:hAnsi="宋体" w:eastAsia="宋体" w:cs="宋体"/>
          <w:b w:val="0"/>
          <w:bCs/>
          <w:sz w:val="21"/>
          <w:szCs w:val="21"/>
          <w:lang w:eastAsia="zh-CN"/>
        </w:rPr>
        <w:t>编制或审核，则结算审核服务费仅计算一次项目总价，即取项目预算或结算审核中较大造价作为对应咨询服务工作量的计算依据。</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以上费用包含</w:t>
      </w:r>
      <w:r>
        <w:rPr>
          <w:rFonts w:hint="eastAsia" w:hAnsi="宋体" w:cs="宋体"/>
          <w:b w:val="0"/>
          <w:bCs/>
          <w:sz w:val="21"/>
          <w:szCs w:val="21"/>
          <w:lang w:eastAsia="zh-CN"/>
        </w:rPr>
        <w:t>供应商</w:t>
      </w:r>
      <w:r>
        <w:rPr>
          <w:rFonts w:hint="eastAsia" w:ascii="宋体" w:hAnsi="宋体" w:eastAsia="宋体" w:cs="宋体"/>
          <w:b w:val="0"/>
          <w:bCs/>
          <w:sz w:val="21"/>
          <w:szCs w:val="21"/>
          <w:lang w:eastAsia="zh-CN"/>
        </w:rPr>
        <w:t>因开展有关造价咨询和相关服务工作所产生的一切费用开支。除此以外，</w:t>
      </w:r>
      <w:r>
        <w:rPr>
          <w:rFonts w:hint="eastAsia" w:hAnsi="宋体" w:cs="宋体"/>
          <w:b w:val="0"/>
          <w:bCs/>
          <w:sz w:val="21"/>
          <w:szCs w:val="21"/>
          <w:lang w:eastAsia="zh-CN"/>
        </w:rPr>
        <w:t>供应商</w:t>
      </w:r>
      <w:r>
        <w:rPr>
          <w:rFonts w:hint="eastAsia" w:ascii="宋体" w:hAnsi="宋体" w:eastAsia="宋体" w:cs="宋体"/>
          <w:b w:val="0"/>
          <w:bCs/>
          <w:sz w:val="21"/>
          <w:szCs w:val="21"/>
          <w:lang w:eastAsia="zh-CN"/>
        </w:rPr>
        <w:t>不得以任何理由要求</w:t>
      </w:r>
      <w:r>
        <w:rPr>
          <w:rFonts w:hint="eastAsia" w:hAnsi="宋体" w:cs="宋体"/>
          <w:b w:val="0"/>
          <w:bCs/>
          <w:sz w:val="21"/>
          <w:szCs w:val="21"/>
          <w:lang w:eastAsia="zh-CN"/>
        </w:rPr>
        <w:t>采购人</w:t>
      </w:r>
      <w:r>
        <w:rPr>
          <w:rFonts w:hint="eastAsia" w:ascii="宋体" w:hAnsi="宋体" w:eastAsia="宋体" w:cs="宋体"/>
          <w:b w:val="0"/>
          <w:bCs/>
          <w:sz w:val="21"/>
          <w:szCs w:val="21"/>
          <w:lang w:eastAsia="zh-CN"/>
        </w:rPr>
        <w:t>支付任何其他费用。</w:t>
      </w:r>
    </w:p>
    <w:p>
      <w:pPr>
        <w:pStyle w:val="6"/>
        <w:numPr>
          <w:ilvl w:val="0"/>
          <w:numId w:val="5"/>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hAnsi="宋体" w:cs="宋体"/>
          <w:b w:val="0"/>
          <w:bCs/>
          <w:sz w:val="21"/>
          <w:szCs w:val="21"/>
          <w:lang w:val="en-US" w:eastAsia="zh-CN"/>
        </w:rPr>
        <w:t>报价</w:t>
      </w:r>
      <w:r>
        <w:rPr>
          <w:rFonts w:hint="eastAsia" w:ascii="宋体" w:hAnsi="宋体" w:eastAsia="宋体" w:cs="宋体"/>
          <w:b w:val="0"/>
          <w:bCs/>
          <w:sz w:val="21"/>
          <w:szCs w:val="21"/>
          <w:lang w:eastAsia="zh-CN"/>
        </w:rPr>
        <w:t>文件要求：</w:t>
      </w:r>
    </w:p>
    <w:p>
      <w:pPr>
        <w:pStyle w:val="6"/>
        <w:numPr>
          <w:ilvl w:val="0"/>
          <w:numId w:val="0"/>
        </w:numPr>
        <w:adjustRightInd w:val="0"/>
        <w:snapToGrid w:val="0"/>
        <w:spacing w:line="360" w:lineRule="auto"/>
        <w:ind w:leftChars="0" w:firstLine="420" w:firstLineChars="200"/>
        <w:rPr>
          <w:rFonts w:hint="eastAsia" w:ascii="宋体" w:hAnsi="宋体" w:eastAsia="宋体" w:cs="宋体"/>
          <w:b w:val="0"/>
          <w:bCs/>
          <w:sz w:val="21"/>
          <w:szCs w:val="21"/>
          <w:lang w:eastAsia="zh-CN"/>
        </w:rPr>
      </w:pPr>
      <w:r>
        <w:rPr>
          <w:rFonts w:hint="eastAsia" w:hAnsi="宋体" w:cs="宋体"/>
          <w:b w:val="0"/>
          <w:bCs/>
          <w:sz w:val="21"/>
          <w:szCs w:val="21"/>
          <w:lang w:val="en-US" w:eastAsia="zh-CN"/>
        </w:rPr>
        <w:t>供应商</w:t>
      </w:r>
      <w:r>
        <w:rPr>
          <w:rFonts w:hint="eastAsia" w:ascii="宋体" w:hAnsi="宋体" w:eastAsia="宋体" w:cs="宋体"/>
          <w:b w:val="0"/>
          <w:bCs/>
          <w:sz w:val="21"/>
          <w:szCs w:val="21"/>
          <w:lang w:eastAsia="zh-CN"/>
        </w:rPr>
        <w:t>按要求提供报价文件一式三份，统一A4纸装订成册（封面、报价页及骑缝需加盖公章），并提供电子版。提供的报价文件包括但不下限于以下资料：</w:t>
      </w:r>
    </w:p>
    <w:p>
      <w:pPr>
        <w:pStyle w:val="6"/>
        <w:numPr>
          <w:ilvl w:val="0"/>
          <w:numId w:val="6"/>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营业执照副本复印件及</w:t>
      </w:r>
      <w:r>
        <w:rPr>
          <w:rFonts w:hint="eastAsia" w:hAnsi="宋体" w:cs="宋体"/>
          <w:b w:val="0"/>
          <w:bCs/>
          <w:sz w:val="21"/>
          <w:szCs w:val="21"/>
          <w:lang w:val="en-US" w:eastAsia="zh-CN"/>
        </w:rPr>
        <w:t>工程造价咨询</w:t>
      </w:r>
      <w:r>
        <w:rPr>
          <w:rFonts w:hint="eastAsia" w:ascii="宋体" w:hAnsi="宋体" w:eastAsia="宋体" w:cs="宋体"/>
          <w:b w:val="0"/>
          <w:bCs/>
          <w:sz w:val="21"/>
          <w:szCs w:val="21"/>
          <w:lang w:eastAsia="zh-CN"/>
        </w:rPr>
        <w:t>资质</w:t>
      </w:r>
      <w:r>
        <w:rPr>
          <w:rFonts w:hint="eastAsia" w:hAnsi="宋体" w:cs="宋体"/>
          <w:b w:val="0"/>
          <w:bCs/>
          <w:sz w:val="21"/>
          <w:szCs w:val="21"/>
          <w:lang w:val="en-US" w:eastAsia="zh-CN"/>
        </w:rPr>
        <w:t>复印件等</w:t>
      </w:r>
      <w:r>
        <w:rPr>
          <w:rFonts w:hint="eastAsia" w:ascii="宋体" w:hAnsi="宋体" w:eastAsia="宋体" w:cs="宋体"/>
          <w:b w:val="0"/>
          <w:bCs/>
          <w:sz w:val="21"/>
          <w:szCs w:val="21"/>
          <w:lang w:eastAsia="zh-CN"/>
        </w:rPr>
        <w:t>相关证明材料；</w:t>
      </w:r>
    </w:p>
    <w:p>
      <w:pPr>
        <w:pStyle w:val="6"/>
        <w:numPr>
          <w:ilvl w:val="0"/>
          <w:numId w:val="6"/>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hAnsi="宋体" w:cs="宋体"/>
          <w:b w:val="0"/>
          <w:bCs/>
          <w:sz w:val="21"/>
          <w:szCs w:val="21"/>
          <w:lang w:val="en-US" w:eastAsia="zh-CN"/>
        </w:rPr>
        <w:t>造价咨询</w:t>
      </w:r>
      <w:r>
        <w:rPr>
          <w:rFonts w:hint="eastAsia" w:ascii="宋体" w:hAnsi="宋体" w:eastAsia="宋体" w:cs="宋体"/>
          <w:b w:val="0"/>
          <w:bCs/>
          <w:sz w:val="21"/>
          <w:szCs w:val="21"/>
          <w:lang w:eastAsia="zh-CN"/>
        </w:rPr>
        <w:t>服务工作方案（含报价）：按照对广东科学中心零星项目造价咨询工作的理解，提出认为做好</w:t>
      </w:r>
      <w:r>
        <w:rPr>
          <w:rFonts w:hint="eastAsia" w:hAnsi="宋体" w:cs="宋体"/>
          <w:b w:val="0"/>
          <w:bCs/>
          <w:sz w:val="21"/>
          <w:szCs w:val="21"/>
          <w:lang w:val="en-US" w:eastAsia="zh-CN"/>
        </w:rPr>
        <w:t>造价咨询</w:t>
      </w:r>
      <w:r>
        <w:rPr>
          <w:rFonts w:hint="eastAsia" w:ascii="宋体" w:hAnsi="宋体" w:eastAsia="宋体" w:cs="宋体"/>
          <w:b w:val="0"/>
          <w:bCs/>
          <w:sz w:val="21"/>
          <w:szCs w:val="21"/>
          <w:lang w:eastAsia="zh-CN"/>
        </w:rPr>
        <w:t>工作的基本要点，服务团队配置及服务承诺等。工作方案需简明扼要、以列举要点的方式列出。</w:t>
      </w:r>
    </w:p>
    <w:p>
      <w:pPr>
        <w:pStyle w:val="6"/>
        <w:numPr>
          <w:ilvl w:val="0"/>
          <w:numId w:val="6"/>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近三年项目业绩情况。</w:t>
      </w:r>
    </w:p>
    <w:p>
      <w:pPr>
        <w:pStyle w:val="6"/>
        <w:numPr>
          <w:ilvl w:val="0"/>
          <w:numId w:val="6"/>
        </w:numPr>
        <w:adjustRightInd w:val="0"/>
        <w:snapToGrid w:val="0"/>
        <w:spacing w:line="360" w:lineRule="auto"/>
        <w:ind w:left="425" w:leftChars="0" w:hanging="425" w:firstLineChars="0"/>
        <w:rPr>
          <w:rFonts w:hint="eastAsia" w:ascii="宋体" w:hAnsi="宋体" w:eastAsia="宋体" w:cs="宋体"/>
          <w:b w:val="0"/>
          <w:bCs/>
          <w:sz w:val="21"/>
          <w:szCs w:val="21"/>
          <w:lang w:eastAsia="zh-CN"/>
        </w:rPr>
      </w:pPr>
      <w:r>
        <w:rPr>
          <w:rFonts w:hint="eastAsia" w:hAnsi="宋体" w:cs="宋体"/>
          <w:b w:val="0"/>
          <w:bCs/>
          <w:sz w:val="21"/>
          <w:szCs w:val="21"/>
          <w:lang w:val="en-US" w:eastAsia="zh-CN"/>
        </w:rPr>
        <w:t>报价文件需</w:t>
      </w:r>
      <w:r>
        <w:rPr>
          <w:rFonts w:hint="eastAsia" w:ascii="宋体" w:hAnsi="宋体" w:eastAsia="宋体" w:cs="宋体"/>
          <w:b w:val="0"/>
          <w:bCs/>
          <w:sz w:val="21"/>
          <w:szCs w:val="21"/>
          <w:lang w:eastAsia="zh-CN"/>
        </w:rPr>
        <w:t>密封装订后加盖公章，封面提供联系方式</w:t>
      </w:r>
      <w:r>
        <w:rPr>
          <w:rFonts w:hint="eastAsia" w:hAnsi="宋体" w:cs="宋体"/>
          <w:b w:val="0"/>
          <w:bCs/>
          <w:sz w:val="21"/>
          <w:szCs w:val="21"/>
          <w:lang w:eastAsia="zh-CN"/>
        </w:rPr>
        <w:t>，</w:t>
      </w:r>
      <w:r>
        <w:rPr>
          <w:rFonts w:hint="eastAsia" w:ascii="宋体" w:hAnsi="宋体" w:eastAsia="宋体" w:cs="宋体"/>
          <w:b w:val="0"/>
          <w:bCs/>
          <w:sz w:val="21"/>
          <w:szCs w:val="21"/>
          <w:lang w:eastAsia="zh-CN"/>
        </w:rPr>
        <w:t>送达或快递至广东科学中心（地址：广州市番禺区大学城科普路168号学术交流中心前台）。</w:t>
      </w:r>
    </w:p>
    <w:p>
      <w:pPr>
        <w:pStyle w:val="3"/>
        <w:numPr>
          <w:ilvl w:val="0"/>
          <w:numId w:val="0"/>
        </w:numPr>
        <w:spacing w:before="139" w:line="364" w:lineRule="auto"/>
        <w:ind w:leftChars="0" w:right="748" w:rightChars="0"/>
        <w:jc w:val="both"/>
        <w:rPr>
          <w:rFonts w:hint="eastAsia" w:asciiTheme="minorEastAsia" w:hAnsiTheme="minorEastAsia" w:eastAsiaTheme="minorEastAsia" w:cstheme="minorEastAsia"/>
          <w:spacing w:val="-6"/>
          <w:w w:val="95"/>
          <w:sz w:val="21"/>
          <w:szCs w:val="21"/>
        </w:rPr>
      </w:pPr>
    </w:p>
    <w:p>
      <w:pPr>
        <w:pStyle w:val="6"/>
        <w:numPr>
          <w:ilvl w:val="0"/>
          <w:numId w:val="1"/>
        </w:numPr>
        <w:adjustRightInd w:val="0"/>
        <w:snapToGrid w:val="0"/>
        <w:spacing w:line="360" w:lineRule="auto"/>
        <w:ind w:left="0" w:leftChars="0" w:firstLine="420" w:firstLineChars="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评审办法</w:t>
      </w:r>
    </w:p>
    <w:p>
      <w:pPr>
        <w:pStyle w:val="6"/>
        <w:numPr>
          <w:ilvl w:val="0"/>
          <w:numId w:val="0"/>
        </w:numPr>
        <w:adjustRightInd w:val="0"/>
        <w:snapToGrid w:val="0"/>
        <w:spacing w:line="360" w:lineRule="auto"/>
        <w:ind w:leftChars="-405"/>
        <w:rPr>
          <w:rFonts w:hint="eastAsia" w:ascii="宋体" w:hAnsi="宋体" w:eastAsia="宋体" w:cs="宋体"/>
          <w:b/>
          <w:sz w:val="21"/>
          <w:szCs w:val="21"/>
        </w:rPr>
      </w:pPr>
    </w:p>
    <w:p>
      <w:pPr>
        <w:pStyle w:val="6"/>
        <w:adjustRightInd w:val="0"/>
        <w:snapToGrid w:val="0"/>
        <w:spacing w:line="360" w:lineRule="auto"/>
        <w:ind w:left="324" w:hanging="283" w:hangingChars="135"/>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本次</w:t>
      </w:r>
      <w:bookmarkStart w:id="0" w:name="_GoBack"/>
      <w:bookmarkEnd w:id="0"/>
      <w:r>
        <w:rPr>
          <w:rFonts w:hint="eastAsia" w:ascii="宋体" w:hAnsi="宋体" w:eastAsia="宋体" w:cs="宋体"/>
          <w:kern w:val="0"/>
          <w:sz w:val="21"/>
          <w:szCs w:val="21"/>
        </w:rPr>
        <w:t>评审采用综合评分法。</w:t>
      </w:r>
    </w:p>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2.</w:t>
      </w:r>
      <w:r>
        <w:rPr>
          <w:rFonts w:hint="eastAsia" w:hAnsi="宋体" w:cs="宋体"/>
          <w:sz w:val="21"/>
          <w:szCs w:val="21"/>
          <w:lang w:val="en-US" w:eastAsia="zh-CN"/>
        </w:rPr>
        <w:t>供应商</w:t>
      </w:r>
      <w:r>
        <w:rPr>
          <w:rFonts w:hint="eastAsia" w:ascii="宋体" w:hAnsi="宋体" w:eastAsia="宋体" w:cs="宋体"/>
          <w:sz w:val="21"/>
          <w:szCs w:val="21"/>
        </w:rPr>
        <w:t>资格审查和符合性审查</w:t>
      </w:r>
    </w:p>
    <w:p>
      <w:pPr>
        <w:pStyle w:val="6"/>
        <w:adjustRightInd w:val="0"/>
        <w:snapToGrid w:val="0"/>
        <w:spacing w:line="360" w:lineRule="auto"/>
        <w:ind w:firstLine="210" w:firstLineChars="100"/>
        <w:rPr>
          <w:rFonts w:hint="eastAsia" w:ascii="宋体" w:hAnsi="宋体" w:eastAsia="宋体" w:cs="宋体"/>
          <w:sz w:val="21"/>
          <w:szCs w:val="21"/>
        </w:rPr>
      </w:pPr>
      <w:r>
        <w:rPr>
          <w:rFonts w:hint="eastAsia" w:hAnsi="宋体" w:cs="宋体"/>
          <w:sz w:val="21"/>
          <w:szCs w:val="21"/>
          <w:lang w:eastAsia="zh-CN"/>
        </w:rPr>
        <w:t>供应商</w:t>
      </w:r>
      <w:r>
        <w:rPr>
          <w:rFonts w:hint="eastAsia" w:ascii="宋体" w:hAnsi="宋体" w:eastAsia="宋体" w:cs="宋体"/>
          <w:sz w:val="21"/>
          <w:szCs w:val="21"/>
        </w:rPr>
        <w:t>是否符合</w:t>
      </w:r>
      <w:r>
        <w:rPr>
          <w:rFonts w:hint="eastAsia" w:ascii="宋体" w:hAnsi="宋体" w:eastAsia="宋体" w:cs="宋体"/>
          <w:sz w:val="21"/>
          <w:szCs w:val="21"/>
          <w:lang w:val="en-US" w:eastAsia="zh-CN"/>
        </w:rPr>
        <w:t>资格要求</w:t>
      </w:r>
      <w:r>
        <w:rPr>
          <w:rFonts w:hint="eastAsia" w:ascii="宋体" w:hAnsi="宋体" w:eastAsia="宋体" w:cs="宋体"/>
          <w:sz w:val="21"/>
          <w:szCs w:val="21"/>
        </w:rPr>
        <w:t>条件。</w:t>
      </w:r>
    </w:p>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3.技术、商务及价格评审</w:t>
      </w:r>
    </w:p>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3.1评分总值最高为100分，评分分值（权重）分配如下：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1437"/>
        <w:gridCol w:w="2151"/>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305" w:hRule="atLeast"/>
          <w:jc w:val="center"/>
        </w:trPr>
        <w:tc>
          <w:tcPr>
            <w:tcW w:w="14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评分项目</w:t>
            </w:r>
          </w:p>
        </w:tc>
        <w:tc>
          <w:tcPr>
            <w:tcW w:w="21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技术商务评分</w:t>
            </w:r>
          </w:p>
        </w:tc>
        <w:tc>
          <w:tcPr>
            <w:tcW w:w="157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jc w:val="center"/>
        </w:trPr>
        <w:tc>
          <w:tcPr>
            <w:tcW w:w="14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2151" w:type="dxa"/>
            <w:vAlign w:val="bottom"/>
          </w:tcPr>
          <w:p>
            <w:pPr>
              <w:jc w:val="center"/>
              <w:rPr>
                <w:rFonts w:hint="eastAsia" w:ascii="宋体" w:hAnsi="宋体" w:eastAsia="宋体" w:cs="宋体"/>
                <w:sz w:val="21"/>
                <w:szCs w:val="21"/>
              </w:rPr>
            </w:pPr>
            <w:r>
              <w:rPr>
                <w:rFonts w:hint="eastAsia" w:ascii="宋体" w:hAnsi="宋体" w:eastAsia="宋体" w:cs="宋体"/>
                <w:sz w:val="21"/>
                <w:szCs w:val="21"/>
              </w:rPr>
              <w:t>75</w:t>
            </w:r>
          </w:p>
        </w:tc>
        <w:tc>
          <w:tcPr>
            <w:tcW w:w="1577" w:type="dxa"/>
            <w:vAlign w:val="bottom"/>
          </w:tcPr>
          <w:p>
            <w:pPr>
              <w:jc w:val="center"/>
              <w:rPr>
                <w:rFonts w:hint="eastAsia" w:ascii="宋体" w:hAnsi="宋体" w:eastAsia="宋体" w:cs="宋体"/>
                <w:sz w:val="21"/>
                <w:szCs w:val="21"/>
              </w:rPr>
            </w:pPr>
            <w:r>
              <w:rPr>
                <w:rFonts w:hint="eastAsia" w:ascii="宋体" w:hAnsi="宋体" w:eastAsia="宋体" w:cs="宋体"/>
                <w:sz w:val="21"/>
                <w:szCs w:val="21"/>
              </w:rPr>
              <w:t>25</w:t>
            </w:r>
          </w:p>
        </w:tc>
      </w:tr>
    </w:tbl>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3.2技术商务评审</w:t>
      </w:r>
    </w:p>
    <w:p>
      <w:pPr>
        <w:pStyle w:val="6"/>
        <w:adjustRightInd w:val="0"/>
        <w:snapToGrid w:val="0"/>
        <w:spacing w:line="360" w:lineRule="auto"/>
        <w:ind w:left="422" w:leftChars="201"/>
        <w:rPr>
          <w:rFonts w:hint="eastAsia" w:ascii="宋体" w:hAnsi="宋体" w:eastAsia="宋体" w:cs="宋体"/>
          <w:i/>
          <w:sz w:val="21"/>
          <w:szCs w:val="21"/>
        </w:rPr>
      </w:pPr>
      <w:r>
        <w:rPr>
          <w:rFonts w:hint="eastAsia" w:ascii="宋体" w:hAnsi="宋体" w:eastAsia="宋体" w:cs="宋体"/>
          <w:sz w:val="21"/>
          <w:szCs w:val="21"/>
        </w:rPr>
        <w:t>技术商务评分项明细及各单项所占权重详见附表</w:t>
      </w:r>
      <w:r>
        <w:rPr>
          <w:rFonts w:hint="eastAsia" w:ascii="宋体" w:hAnsi="宋体" w:eastAsia="宋体" w:cs="宋体"/>
          <w:sz w:val="21"/>
          <w:szCs w:val="21"/>
          <w:lang w:val="en-US" w:eastAsia="zh-CN"/>
        </w:rPr>
        <w:t>2</w:t>
      </w:r>
      <w:r>
        <w:rPr>
          <w:rFonts w:hint="eastAsia" w:ascii="宋体" w:hAnsi="宋体" w:eastAsia="宋体" w:cs="宋体"/>
          <w:sz w:val="21"/>
          <w:szCs w:val="21"/>
        </w:rPr>
        <w:t>：《技术商务评审表》；</w:t>
      </w:r>
    </w:p>
    <w:p>
      <w:pPr>
        <w:pStyle w:val="6"/>
        <w:adjustRightInd w:val="0"/>
        <w:snapToGrid w:val="0"/>
        <w:spacing w:line="360" w:lineRule="auto"/>
        <w:ind w:left="972" w:hanging="850" w:hangingChars="405"/>
        <w:rPr>
          <w:rFonts w:hint="eastAsia" w:ascii="宋体" w:hAnsi="宋体" w:eastAsia="宋体" w:cs="宋体"/>
          <w:sz w:val="21"/>
          <w:szCs w:val="21"/>
        </w:rPr>
      </w:pPr>
      <w:r>
        <w:rPr>
          <w:rFonts w:hint="eastAsia" w:ascii="宋体" w:hAnsi="宋体" w:eastAsia="宋体" w:cs="宋体"/>
          <w:sz w:val="21"/>
          <w:szCs w:val="21"/>
        </w:rPr>
        <w:t>3.3价格评审</w:t>
      </w:r>
    </w:p>
    <w:p>
      <w:pPr>
        <w:pStyle w:val="6"/>
        <w:adjustRightInd w:val="0"/>
        <w:snapToGrid w:val="0"/>
        <w:spacing w:line="360" w:lineRule="auto"/>
        <w:ind w:left="485" w:hanging="424" w:hangingChars="202"/>
        <w:rPr>
          <w:rFonts w:hint="eastAsia" w:ascii="宋体" w:hAnsi="宋体" w:eastAsia="宋体" w:cs="宋体"/>
          <w:sz w:val="21"/>
          <w:szCs w:val="21"/>
        </w:rPr>
      </w:pPr>
      <w:r>
        <w:rPr>
          <w:rFonts w:hint="eastAsia" w:ascii="宋体" w:hAnsi="宋体" w:eastAsia="宋体" w:cs="宋体"/>
          <w:sz w:val="21"/>
          <w:szCs w:val="21"/>
        </w:rPr>
        <w:t>3.1 计算价格评分：各有效报价供应商的评标价中，取最低者作为基准价，各有效报价供应商的价格评分统一按照下列公式计算：</w:t>
      </w:r>
    </w:p>
    <w:p>
      <w:pPr>
        <w:pStyle w:val="6"/>
        <w:adjustRightInd w:val="0"/>
        <w:snapToGrid w:val="0"/>
        <w:spacing w:line="360" w:lineRule="auto"/>
        <w:ind w:left="485" w:hanging="424" w:hangingChars="202"/>
        <w:rPr>
          <w:rFonts w:hint="eastAsia" w:ascii="宋体" w:hAnsi="宋体" w:eastAsia="宋体" w:cs="宋体"/>
          <w:sz w:val="21"/>
          <w:szCs w:val="21"/>
        </w:rPr>
      </w:pPr>
      <w:r>
        <w:rPr>
          <w:rFonts w:hint="eastAsia" w:ascii="宋体" w:hAnsi="宋体" w:eastAsia="宋体" w:cs="宋体"/>
          <w:sz w:val="21"/>
          <w:szCs w:val="21"/>
        </w:rPr>
        <w:t>价格评分＝（基准价÷评标价）×25</w:t>
      </w:r>
    </w:p>
    <w:p>
      <w:pPr>
        <w:pStyle w:val="6"/>
        <w:adjustRightInd w:val="0"/>
        <w:snapToGrid w:val="0"/>
        <w:spacing w:line="360" w:lineRule="auto"/>
        <w:ind w:left="485" w:hanging="424" w:hangingChars="202"/>
        <w:rPr>
          <w:rFonts w:hint="eastAsia" w:ascii="宋体" w:hAnsi="宋体" w:eastAsia="宋体" w:cs="宋体"/>
          <w:sz w:val="21"/>
          <w:szCs w:val="21"/>
        </w:rPr>
      </w:pPr>
      <w:r>
        <w:rPr>
          <w:rFonts w:hint="eastAsia" w:ascii="宋体" w:hAnsi="宋体" w:eastAsia="宋体" w:cs="宋体"/>
          <w:sz w:val="21"/>
          <w:szCs w:val="21"/>
        </w:rPr>
        <w:t>3.2评标总得分及统计：各评委的评分的算术平均值即为该报价供应商的技术商务评分。然后，根据比价原则评出价格评分。将技术商务评分和价格评分相加得出评标总得分（评标总得分分值按四舍五入原则精确到小数点后两位）。</w:t>
      </w: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4" w:hangingChars="202"/>
        <w:rPr>
          <w:rFonts w:hint="eastAsia" w:hAnsi="宋体"/>
          <w:sz w:val="24"/>
          <w:szCs w:val="24"/>
        </w:rPr>
      </w:pPr>
    </w:p>
    <w:p>
      <w:pPr>
        <w:pStyle w:val="6"/>
        <w:adjustRightInd w:val="0"/>
        <w:snapToGrid w:val="0"/>
        <w:spacing w:line="360" w:lineRule="auto"/>
        <w:ind w:left="485" w:hanging="487" w:hangingChars="202"/>
        <w:rPr>
          <w:rFonts w:hAnsi="宋体"/>
        </w:rPr>
      </w:pPr>
      <w:r>
        <w:rPr>
          <w:rFonts w:hint="eastAsia" w:hAnsi="宋体"/>
          <w:b/>
          <w:sz w:val="24"/>
          <w:szCs w:val="24"/>
        </w:rPr>
        <w:t>附表</w:t>
      </w:r>
      <w:r>
        <w:rPr>
          <w:rFonts w:hint="eastAsia" w:hAnsi="宋体"/>
          <w:b/>
          <w:sz w:val="24"/>
          <w:szCs w:val="24"/>
          <w:lang w:val="en-US" w:eastAsia="zh-CN"/>
        </w:rPr>
        <w:t>2</w:t>
      </w:r>
      <w:r>
        <w:rPr>
          <w:rFonts w:hint="eastAsia" w:hAnsi="宋体"/>
          <w:b/>
          <w:sz w:val="24"/>
          <w:szCs w:val="24"/>
        </w:rPr>
        <w:t>：</w:t>
      </w:r>
      <w:r>
        <w:rPr>
          <w:rFonts w:hint="eastAsia" w:hAnsi="宋体"/>
          <w:b/>
          <w:sz w:val="24"/>
          <w:szCs w:val="24"/>
          <w:lang w:val="en-US" w:eastAsia="zh-CN"/>
        </w:rPr>
        <w:t xml:space="preserve">                         </w:t>
      </w:r>
      <w:r>
        <w:rPr>
          <w:rFonts w:hint="eastAsia" w:hAnsi="宋体"/>
          <w:b/>
          <w:sz w:val="24"/>
          <w:szCs w:val="24"/>
        </w:rPr>
        <w:t>技术商务评审表</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709"/>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559"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评审分项</w:t>
            </w:r>
          </w:p>
        </w:tc>
        <w:tc>
          <w:tcPr>
            <w:tcW w:w="709"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6662"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59" w:type="dxa"/>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造价咨询</w:t>
            </w:r>
            <w:r>
              <w:rPr>
                <w:rFonts w:hint="eastAsia" w:ascii="宋体" w:hAnsi="宋体" w:eastAsia="宋体" w:cs="宋体"/>
                <w:sz w:val="21"/>
                <w:szCs w:val="21"/>
              </w:rPr>
              <w:t>服务工作方案</w:t>
            </w:r>
          </w:p>
        </w:tc>
        <w:tc>
          <w:tcPr>
            <w:tcW w:w="7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662" w:type="dxa"/>
            <w:vAlign w:val="center"/>
          </w:tcPr>
          <w:p>
            <w:pPr>
              <w:numPr>
                <w:ilvl w:val="0"/>
                <w:numId w:val="7"/>
              </w:numPr>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工作方案完整，对项目需求理解准确，要点清晰，完全满足采购需求的，得</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p>
            <w:pPr>
              <w:numPr>
                <w:ilvl w:val="0"/>
                <w:numId w:val="7"/>
              </w:numPr>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工作方案较完整，对项目需求理解较准确，要点较清晰，较能满足采购需求的，得2</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p>
            <w:pPr>
              <w:numPr>
                <w:ilvl w:val="0"/>
                <w:numId w:val="7"/>
              </w:numPr>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工作方案基本完整，对项目需求理解基本准确，要点基本清晰，基本满足采购需求的，得1</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numPr>
                <w:ilvl w:val="0"/>
                <w:numId w:val="7"/>
              </w:numPr>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工作方案不完整，对项目需求理解不准确，要点不清晰，不能满足采购需求的，得</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分； </w:t>
            </w:r>
          </w:p>
          <w:p>
            <w:pPr>
              <w:pStyle w:val="2"/>
              <w:numPr>
                <w:ilvl w:val="0"/>
                <w:numId w:val="7"/>
              </w:numPr>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不提供工作方案的，得0分。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59" w:type="dxa"/>
            <w:vAlign w:val="center"/>
          </w:tcPr>
          <w:p>
            <w:pPr>
              <w:rPr>
                <w:rFonts w:hint="eastAsia" w:ascii="宋体" w:hAnsi="宋体" w:eastAsia="宋体" w:cs="宋体"/>
                <w:sz w:val="21"/>
                <w:szCs w:val="21"/>
              </w:rPr>
            </w:pPr>
            <w:r>
              <w:rPr>
                <w:rFonts w:hint="eastAsia" w:ascii="宋体" w:hAnsi="宋体" w:eastAsia="宋体" w:cs="宋体"/>
                <w:sz w:val="21"/>
                <w:szCs w:val="21"/>
              </w:rPr>
              <w:t>业绩情况</w:t>
            </w:r>
          </w:p>
        </w:tc>
        <w:tc>
          <w:tcPr>
            <w:tcW w:w="7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0</w:t>
            </w:r>
          </w:p>
        </w:tc>
        <w:tc>
          <w:tcPr>
            <w:tcW w:w="6662" w:type="dxa"/>
            <w:vAlign w:val="center"/>
          </w:tcPr>
          <w:p>
            <w:pPr>
              <w:numPr>
                <w:ilvl w:val="0"/>
                <w:numId w:val="8"/>
              </w:numPr>
              <w:ind w:left="0" w:leftChars="0" w:firstLine="420" w:firstLineChars="200"/>
              <w:rPr>
                <w:rFonts w:hint="eastAsia" w:ascii="宋体" w:hAnsi="宋体" w:eastAsia="宋体" w:cs="宋体"/>
                <w:sz w:val="21"/>
                <w:szCs w:val="21"/>
              </w:rPr>
            </w:pPr>
            <w:r>
              <w:rPr>
                <w:rFonts w:hint="eastAsia" w:ascii="宋体" w:hAnsi="宋体" w:cs="宋体"/>
                <w:sz w:val="21"/>
                <w:szCs w:val="21"/>
                <w:lang w:val="en-US" w:eastAsia="zh-CN"/>
              </w:rPr>
              <w:t>供应商</w:t>
            </w:r>
            <w:r>
              <w:rPr>
                <w:rFonts w:hint="eastAsia" w:ascii="宋体" w:hAnsi="宋体" w:eastAsia="宋体" w:cs="宋体"/>
                <w:sz w:val="21"/>
                <w:szCs w:val="21"/>
              </w:rPr>
              <w:t>自2018年1月以来所承担过</w:t>
            </w:r>
            <w:r>
              <w:rPr>
                <w:rFonts w:hint="eastAsia" w:ascii="宋体" w:hAnsi="宋体" w:eastAsia="宋体" w:cs="宋体"/>
                <w:sz w:val="21"/>
                <w:szCs w:val="21"/>
                <w:lang w:val="en-US" w:eastAsia="zh-CN"/>
              </w:rPr>
              <w:t>类似年度工程</w:t>
            </w:r>
            <w:r>
              <w:rPr>
                <w:rFonts w:hint="eastAsia" w:ascii="宋体" w:hAnsi="宋体" w:eastAsia="宋体" w:cs="宋体"/>
                <w:sz w:val="21"/>
                <w:szCs w:val="21"/>
              </w:rPr>
              <w:t>造价咨询服务业绩每项得2分，本项最高得10分。（提供工程承建合同复印件，不提供不得分）</w:t>
            </w:r>
          </w:p>
          <w:p>
            <w:pPr>
              <w:numPr>
                <w:ilvl w:val="0"/>
                <w:numId w:val="8"/>
              </w:numPr>
              <w:ind w:left="0" w:leftChars="0" w:firstLine="420" w:firstLineChars="200"/>
              <w:rPr>
                <w:rFonts w:hint="eastAsia" w:ascii="宋体" w:hAnsi="宋体" w:eastAsia="宋体" w:cs="宋体"/>
                <w:sz w:val="21"/>
                <w:szCs w:val="21"/>
              </w:rPr>
            </w:pPr>
            <w:r>
              <w:rPr>
                <w:rFonts w:hint="eastAsia" w:ascii="宋体" w:hAnsi="宋体" w:cs="宋体"/>
                <w:sz w:val="21"/>
                <w:szCs w:val="21"/>
                <w:lang w:val="en-US" w:eastAsia="zh-CN"/>
              </w:rPr>
              <w:t>供应商</w:t>
            </w:r>
            <w:r>
              <w:rPr>
                <w:rFonts w:hint="eastAsia" w:ascii="宋体" w:hAnsi="宋体" w:eastAsia="宋体" w:cs="宋体"/>
                <w:sz w:val="21"/>
                <w:szCs w:val="21"/>
              </w:rPr>
              <w:t>自2018年1月以来所承担过单项建筑项目工程造价咨询服务业绩每项得2分，本项最高得10分。（提供工程承建合同复印件，不提供不得分）</w:t>
            </w:r>
          </w:p>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559"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拟投入</w:t>
            </w:r>
            <w:r>
              <w:rPr>
                <w:rFonts w:hint="eastAsia" w:ascii="宋体" w:hAnsi="宋体" w:eastAsia="宋体" w:cs="宋体"/>
                <w:sz w:val="21"/>
                <w:szCs w:val="21"/>
              </w:rPr>
              <w:t>服务团队的规模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c>
          <w:tcPr>
            <w:tcW w:w="6662" w:type="dxa"/>
            <w:vAlign w:val="center"/>
          </w:tcPr>
          <w:p>
            <w:pPr>
              <w:numPr>
                <w:ilvl w:val="0"/>
                <w:numId w:val="9"/>
              </w:numPr>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拟投入本项目专业技术人员的专业类别齐全（专业类别包括土建、安装、装饰专业），具有相应中级（或以上）级别专业职称或资格证书的，每提供1人得1分，最多得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pPr>
              <w:numPr>
                <w:ilvl w:val="0"/>
                <w:numId w:val="9"/>
              </w:numPr>
              <w:ind w:left="0"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其中</w:t>
            </w:r>
            <w:r>
              <w:rPr>
                <w:rFonts w:hint="eastAsia" w:ascii="宋体" w:hAnsi="宋体" w:eastAsia="宋体" w:cs="宋体"/>
                <w:sz w:val="21"/>
                <w:szCs w:val="21"/>
              </w:rPr>
              <w:t>拟投入本项目</w:t>
            </w:r>
            <w:r>
              <w:rPr>
                <w:rFonts w:hint="eastAsia" w:ascii="宋体" w:hAnsi="宋体" w:eastAsia="宋体" w:cs="宋体"/>
                <w:sz w:val="21"/>
                <w:szCs w:val="21"/>
                <w:lang w:val="en-US" w:eastAsia="zh-CN"/>
              </w:rPr>
              <w:t>人员中</w:t>
            </w:r>
            <w:r>
              <w:rPr>
                <w:rFonts w:hint="eastAsia" w:ascii="宋体" w:hAnsi="宋体" w:eastAsia="宋体" w:cs="宋体"/>
                <w:sz w:val="21"/>
                <w:szCs w:val="21"/>
              </w:rPr>
              <w:t>一级造价工程师（</w:t>
            </w:r>
            <w:r>
              <w:rPr>
                <w:rFonts w:hint="eastAsia" w:ascii="宋体" w:hAnsi="宋体" w:eastAsia="宋体" w:cs="宋体"/>
                <w:sz w:val="21"/>
                <w:szCs w:val="21"/>
                <w:lang w:val="en-US" w:eastAsia="zh-CN"/>
              </w:rPr>
              <w:t>土建或安装专业</w:t>
            </w:r>
            <w:r>
              <w:rPr>
                <w:rFonts w:hint="eastAsia" w:ascii="宋体" w:hAnsi="宋体" w:eastAsia="宋体" w:cs="宋体"/>
                <w:sz w:val="21"/>
                <w:szCs w:val="21"/>
              </w:rPr>
              <w:t>）满足达到1人，得</w:t>
            </w:r>
            <w:r>
              <w:rPr>
                <w:rFonts w:hint="eastAsia" w:ascii="宋体" w:hAnsi="宋体" w:eastAsia="宋体" w:cs="宋体"/>
                <w:sz w:val="21"/>
                <w:szCs w:val="21"/>
                <w:lang w:val="en-US" w:eastAsia="zh-CN"/>
              </w:rPr>
              <w:t>5</w:t>
            </w:r>
            <w:r>
              <w:rPr>
                <w:rFonts w:hint="eastAsia" w:ascii="宋体" w:hAnsi="宋体" w:eastAsia="宋体" w:cs="宋体"/>
                <w:sz w:val="21"/>
                <w:szCs w:val="21"/>
              </w:rPr>
              <w:t>分，不满足不得分；每增加投入1名</w:t>
            </w:r>
            <w:r>
              <w:rPr>
                <w:rFonts w:hint="eastAsia" w:ascii="宋体" w:hAnsi="宋体" w:eastAsia="宋体" w:cs="宋体"/>
                <w:sz w:val="21"/>
                <w:szCs w:val="21"/>
                <w:lang w:val="en-US" w:eastAsia="zh-CN"/>
              </w:rPr>
              <w:t>一</w:t>
            </w:r>
            <w:r>
              <w:rPr>
                <w:rFonts w:hint="eastAsia" w:ascii="宋体" w:hAnsi="宋体" w:eastAsia="宋体" w:cs="宋体"/>
                <w:sz w:val="21"/>
                <w:szCs w:val="21"/>
              </w:rPr>
              <w:t>级造价工程师的加</w:t>
            </w:r>
            <w:r>
              <w:rPr>
                <w:rFonts w:hint="eastAsia" w:ascii="宋体" w:hAnsi="宋体" w:eastAsia="宋体" w:cs="宋体"/>
                <w:sz w:val="21"/>
                <w:szCs w:val="21"/>
                <w:lang w:val="en-US" w:eastAsia="zh-CN"/>
              </w:rPr>
              <w:t>3</w:t>
            </w:r>
            <w:r>
              <w:rPr>
                <w:rFonts w:hint="eastAsia" w:ascii="宋体" w:hAnsi="宋体" w:eastAsia="宋体" w:cs="宋体"/>
                <w:sz w:val="21"/>
                <w:szCs w:val="21"/>
              </w:rPr>
              <w:t>分，最多加</w:t>
            </w:r>
            <w:r>
              <w:rPr>
                <w:rFonts w:hint="eastAsia" w:ascii="宋体" w:hAnsi="宋体" w:eastAsia="宋体" w:cs="宋体"/>
                <w:sz w:val="21"/>
                <w:szCs w:val="21"/>
                <w:lang w:val="en-US" w:eastAsia="zh-CN"/>
              </w:rPr>
              <w:t>6</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每增加投入1名二级（或以上）造价工程师的加</w:t>
            </w:r>
            <w:r>
              <w:rPr>
                <w:rFonts w:hint="eastAsia" w:ascii="宋体" w:hAnsi="宋体" w:eastAsia="宋体" w:cs="宋体"/>
                <w:sz w:val="21"/>
                <w:szCs w:val="21"/>
                <w:lang w:val="en-US" w:eastAsia="zh-CN"/>
              </w:rPr>
              <w:t>2</w:t>
            </w:r>
            <w:r>
              <w:rPr>
                <w:rFonts w:hint="eastAsia" w:ascii="宋体" w:hAnsi="宋体" w:eastAsia="宋体" w:cs="宋体"/>
                <w:sz w:val="21"/>
                <w:szCs w:val="21"/>
              </w:rPr>
              <w:t>分，最多加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本项</w:t>
            </w:r>
            <w:r>
              <w:rPr>
                <w:rFonts w:hint="eastAsia" w:ascii="宋体" w:hAnsi="宋体" w:eastAsia="宋体" w:cs="宋体"/>
                <w:sz w:val="21"/>
                <w:szCs w:val="21"/>
              </w:rPr>
              <w:t>最多得1</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numPr>
                <w:ilvl w:val="0"/>
                <w:numId w:val="9"/>
              </w:numPr>
              <w:ind w:left="0"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其中拟投入本项目驻场人员为工程造价中级资格专业或</w:t>
            </w:r>
            <w:r>
              <w:rPr>
                <w:rFonts w:hint="eastAsia" w:ascii="宋体" w:hAnsi="宋体" w:eastAsia="宋体" w:cs="宋体"/>
                <w:sz w:val="21"/>
                <w:szCs w:val="21"/>
              </w:rPr>
              <w:t>二级（或以上）造价工程师</w:t>
            </w:r>
            <w:r>
              <w:rPr>
                <w:rFonts w:hint="eastAsia" w:ascii="宋体" w:hAnsi="宋体" w:eastAsia="宋体" w:cs="宋体"/>
                <w:sz w:val="21"/>
                <w:szCs w:val="21"/>
                <w:lang w:val="en-US" w:eastAsia="zh-CN"/>
              </w:rPr>
              <w:t>满足达到1人，得5分，</w:t>
            </w:r>
            <w:r>
              <w:rPr>
                <w:rFonts w:hint="eastAsia" w:ascii="宋体" w:hAnsi="宋体" w:eastAsia="宋体" w:cs="宋体"/>
                <w:sz w:val="21"/>
                <w:szCs w:val="21"/>
              </w:rPr>
              <w:t>不满足不得分。</w:t>
            </w:r>
          </w:p>
          <w:p>
            <w:pPr>
              <w:numPr>
                <w:ilvl w:val="0"/>
                <w:numId w:val="9"/>
              </w:numPr>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cs="宋体"/>
                <w:sz w:val="21"/>
                <w:szCs w:val="21"/>
                <w:lang w:eastAsia="zh-CN"/>
              </w:rPr>
              <w:t>报价文件</w:t>
            </w:r>
            <w:r>
              <w:rPr>
                <w:rFonts w:hint="eastAsia" w:ascii="宋体" w:hAnsi="宋体" w:eastAsia="宋体" w:cs="宋体"/>
                <w:sz w:val="21"/>
                <w:szCs w:val="21"/>
              </w:rPr>
              <w:t>内须同时提供以上人员的专业职称或资格证书复印件和</w:t>
            </w:r>
            <w:r>
              <w:rPr>
                <w:rFonts w:hint="eastAsia" w:ascii="宋体" w:hAnsi="宋体" w:eastAsia="宋体" w:cs="宋体"/>
                <w:sz w:val="21"/>
                <w:szCs w:val="21"/>
                <w:lang w:val="en-US" w:eastAsia="zh-CN"/>
              </w:rPr>
              <w:t>近三个月中</w:t>
            </w:r>
            <w:r>
              <w:rPr>
                <w:rFonts w:hint="eastAsia" w:ascii="宋体" w:hAnsi="宋体" w:eastAsia="宋体" w:cs="宋体"/>
                <w:sz w:val="21"/>
                <w:szCs w:val="21"/>
              </w:rPr>
              <w:t>任意一个月的社保证明材料复印件，不提供不得分。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pPr>
              <w:jc w:val="center"/>
              <w:rPr>
                <w:rFonts w:hint="eastAsia" w:ascii="宋体" w:hAnsi="宋体" w:eastAsia="宋体" w:cs="宋体"/>
                <w:sz w:val="21"/>
                <w:szCs w:val="21"/>
              </w:rPr>
            </w:pPr>
          </w:p>
        </w:tc>
        <w:tc>
          <w:tcPr>
            <w:tcW w:w="1559" w:type="dxa"/>
            <w:vAlign w:val="center"/>
          </w:tcPr>
          <w:p>
            <w:pPr>
              <w:rPr>
                <w:rFonts w:hint="eastAsia" w:ascii="宋体" w:hAnsi="宋体" w:eastAsia="宋体" w:cs="宋体"/>
                <w:sz w:val="21"/>
                <w:szCs w:val="21"/>
              </w:rPr>
            </w:pPr>
            <w:r>
              <w:rPr>
                <w:rFonts w:hint="eastAsia" w:ascii="宋体" w:hAnsi="宋体" w:eastAsia="宋体" w:cs="宋体"/>
                <w:sz w:val="21"/>
                <w:szCs w:val="21"/>
              </w:rPr>
              <w:t>合计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75</w:t>
            </w:r>
          </w:p>
        </w:tc>
        <w:tc>
          <w:tcPr>
            <w:tcW w:w="6662" w:type="dxa"/>
            <w:vAlign w:val="center"/>
          </w:tcPr>
          <w:p>
            <w:pPr>
              <w:ind w:firstLine="420" w:firstLineChars="200"/>
              <w:rPr>
                <w:rStyle w:val="13"/>
                <w:rFonts w:hint="eastAsia" w:ascii="宋体" w:hAnsi="宋体" w:eastAsia="宋体" w:cs="宋体"/>
                <w:sz w:val="21"/>
                <w:szCs w:val="21"/>
              </w:rPr>
            </w:pPr>
          </w:p>
        </w:tc>
      </w:tr>
    </w:tbl>
    <w:p>
      <w:pPr>
        <w:pStyle w:val="3"/>
        <w:numPr>
          <w:ilvl w:val="0"/>
          <w:numId w:val="0"/>
        </w:numPr>
        <w:spacing w:before="139" w:line="364" w:lineRule="auto"/>
        <w:ind w:leftChars="0" w:right="748" w:rightChars="0"/>
        <w:jc w:val="both"/>
        <w:rPr>
          <w:rFonts w:hint="eastAsia"/>
          <w:spacing w:val="-6"/>
          <w:w w:val="95"/>
          <w:lang w:val="en-US" w:eastAsia="zh-CN"/>
        </w:rPr>
      </w:pPr>
    </w:p>
    <w:sectPr>
      <w:headerReference r:id="rId3" w:type="default"/>
      <w:footerReference r:id="rId4" w:type="default"/>
      <w:pgSz w:w="11906" w:h="16838"/>
      <w:pgMar w:top="1440" w:right="1418" w:bottom="113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935355</wp:posOffset>
              </wp:positionH>
              <wp:positionV relativeFrom="page">
                <wp:posOffset>10022205</wp:posOffset>
              </wp:positionV>
              <wp:extent cx="5688965" cy="5715"/>
              <wp:effectExtent l="0" t="0" r="0" b="0"/>
              <wp:wrapNone/>
              <wp:docPr id="1" name="矩形 1"/>
              <wp:cNvGraphicFramePr/>
              <a:graphic xmlns:a="http://schemas.openxmlformats.org/drawingml/2006/main">
                <a:graphicData uri="http://schemas.microsoft.com/office/word/2010/wordprocessingShape">
                  <wps:wsp>
                    <wps:cNvSpPr/>
                    <wps:spPr>
                      <a:xfrm>
                        <a:off x="0" y="0"/>
                        <a:ext cx="5688965" cy="57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3.65pt;margin-top:789.15pt;height:0.45pt;width:447.95pt;mso-position-horizontal-relative:page;mso-position-vertical-relative:page;z-index:-251656192;mso-width-relative:page;mso-height-relative:page;" fillcolor="#000000" filled="t" stroked="f" coordsize="21600,21600" o:gfxdata="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icz&#10;SNoAAAAOAQAADwAAAAAAAAABACAAAAAiAAAAZHJzL2Rvd25yZXYueG1sUEsBAhQAFAAAAAgAh07i&#10;QF2JmBWuAQAAXQMAAA4AAAAAAAAAAQAgAAAAKQEAAGRycy9lMm9Eb2MueG1sUEsFBgAAAAAGAAYA&#10;WQEAAEkFAAAAAA==&#10;">
              <v:fill on="t" focussize="0,0"/>
              <v:stroke on="f"/>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3541395</wp:posOffset>
              </wp:positionH>
              <wp:positionV relativeFrom="page">
                <wp:posOffset>10039985</wp:posOffset>
              </wp:positionV>
              <wp:extent cx="13335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350" cy="152400"/>
                      </a:xfrm>
                      <a:prstGeom prst="rect">
                        <a:avLst/>
                      </a:prstGeom>
                      <a:noFill/>
                      <a:ln>
                        <a:noFill/>
                      </a:ln>
                    </wps:spPr>
                    <wps:txbx>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78.85pt;margin-top:790.55pt;height:12pt;width:10.5pt;mso-position-horizontal-relative:page;mso-position-vertical-relative:page;z-index:-251656192;mso-width-relative:page;mso-height-relative:page;" filled="f" stroked="f" coordsize="21600,21600" o:gfxdata="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s58s9oAAAANAQAADwAAAAAAAAABACAAAAAiAAAAZHJzL2Rvd25yZXYueG1sUEsB&#10;AhQAFAAAAAgAh07iQL+1mGO6AQAAcQMAAA4AAAAAAAAAAQAgAAAAKQEAAGRycy9lMm9Eb2MueG1s&#10;UEsFBgAAAAAGAAYAWQEAAFUFAAAAAA==&#10;">
              <v:fill on="f" focussize="0,0"/>
              <v:stroke on="f"/>
              <v:imagedata o:title=""/>
              <o:lock v:ext="edit" aspectratio="f"/>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4996180</wp:posOffset>
              </wp:positionH>
              <wp:positionV relativeFrom="page">
                <wp:posOffset>10045065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wps:spPr>
                    <wps:txbx>
                      <w:txbxContent>
                        <w:p>
                          <w:pPr>
                            <w:spacing w:before="0" w:line="220" w:lineRule="exact"/>
                            <w:ind w:right="0"/>
                            <w:jc w:val="left"/>
                            <w:rPr>
                              <w:rFonts w:hint="eastAsia" w:eastAsia="宋体"/>
                              <w:sz w:val="18"/>
                              <w:lang w:eastAsia="zh-CN"/>
                            </w:rPr>
                          </w:pPr>
                        </w:p>
                      </w:txbxContent>
                    </wps:txbx>
                    <wps:bodyPr lIns="0" tIns="0" rIns="0" bIns="0" upright="1"/>
                  </wps:wsp>
                </a:graphicData>
              </a:graphic>
            </wp:anchor>
          </w:drawing>
        </mc:Choice>
        <mc:Fallback>
          <w:pict>
            <v:shape id="_x0000_s1026" o:spid="_x0000_s1026" o:spt="202" type="#_x0000_t202" style="position:absolute;left:0pt;margin-left:393.4pt;margin-top:790.95pt;height:11pt;width:128pt;mso-position-horizontal-relative:page;mso-position-vertical-relative:page;z-index:-251655168;mso-width-relative:page;mso-height-relative:page;" filled="f" stroked="f" coordsize="21600,21600" o:gfxdata="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F0av9sAAAAOAQAADwAAAAAAAAABACAAAAAiAAAAZHJzL2Rvd25yZXYueG1sUEsB&#10;AhQAFAAAAAgAh07iQLNTX9+5AQAAcgMAAA4AAAAAAAAAAQAgAAAAKgEAAGRycy9lMm9Eb2MueG1s&#10;UEsFBgAAAAAGAAYAWQEAAFUFAAAAAA==&#10;">
              <v:fill on="f" focussize="0,0"/>
              <v:stroke on="f"/>
              <v:imagedata o:title=""/>
              <o:lock v:ext="edit" aspectratio="f"/>
              <v:textbox inset="0mm,0mm,0mm,0mm">
                <w:txbxContent>
                  <w:p>
                    <w:pPr>
                      <w:spacing w:before="0" w:line="220" w:lineRule="exact"/>
                      <w:ind w:right="0"/>
                      <w:jc w:val="left"/>
                      <w:rPr>
                        <w:rFonts w:hint="eastAsia" w:eastAsia="宋体"/>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935990</wp:posOffset>
              </wp:positionH>
              <wp:positionV relativeFrom="page">
                <wp:posOffset>664210</wp:posOffset>
              </wp:positionV>
              <wp:extent cx="5688965" cy="36830"/>
              <wp:effectExtent l="0" t="0" r="10795" b="8890"/>
              <wp:wrapNone/>
              <wp:docPr id="5" name="任意多边形 5"/>
              <wp:cNvGraphicFramePr/>
              <a:graphic xmlns:a="http://schemas.openxmlformats.org/drawingml/2006/main">
                <a:graphicData uri="http://schemas.microsoft.com/office/word/2010/wordprocessingShape">
                  <wps:wsp>
                    <wps:cNvSpPr/>
                    <wps:spPr>
                      <a:xfrm>
                        <a:off x="0" y="0"/>
                        <a:ext cx="5688965" cy="36830"/>
                      </a:xfrm>
                      <a:custGeom>
                        <a:avLst/>
                        <a:gdLst/>
                        <a:ahLst/>
                        <a:cxnLst/>
                        <a:pathLst>
                          <a:path w="8959" h="58">
                            <a:moveTo>
                              <a:pt x="8959" y="43"/>
                            </a:moveTo>
                            <a:lnTo>
                              <a:pt x="0" y="43"/>
                            </a:lnTo>
                            <a:lnTo>
                              <a:pt x="0" y="58"/>
                            </a:lnTo>
                            <a:lnTo>
                              <a:pt x="8959" y="58"/>
                            </a:lnTo>
                            <a:lnTo>
                              <a:pt x="8959" y="43"/>
                            </a:lnTo>
                            <a:close/>
                            <a:moveTo>
                              <a:pt x="8959" y="0"/>
                            </a:moveTo>
                            <a:lnTo>
                              <a:pt x="0" y="0"/>
                            </a:lnTo>
                            <a:lnTo>
                              <a:pt x="0" y="29"/>
                            </a:lnTo>
                            <a:lnTo>
                              <a:pt x="8959" y="29"/>
                            </a:lnTo>
                            <a:lnTo>
                              <a:pt x="8959"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2.3pt;height:2.9pt;width:447.95pt;mso-position-horizontal-relative:page;mso-position-vertical-relative:page;z-index:-251657216;mso-width-relative:page;mso-height-relative:page;" fillcolor="#000000" filled="t" stroked="f" coordsize="8959,58" o:gfxdata="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Vbf4toAAAAMAQAADwAAAAAAAAABACAAAAAiAAAAZHJzL2Rvd25y&#10;ZXYueG1sUEsBAhQAFAAAAAgAh07iQIy2CV81AgAATwUAAA4AAAAAAAAAAQAgAAAAKQEAAGRycy9l&#10;Mm9Eb2MueG1sUEsFBgAAAAAGAAYAWQEAANAFAAAAAA==&#10;" path="m8959,43l0,43,0,58,8959,58,8959,43xm8959,0l0,0,0,29,8959,29,8959,0xe">
              <v:fill on="t" focussize="0,0"/>
              <v:stroke on="f"/>
              <v:imagedata o:title=""/>
              <o:lock v:ext="edit" aspectratio="f"/>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922655</wp:posOffset>
              </wp:positionH>
              <wp:positionV relativeFrom="page">
                <wp:posOffset>508000</wp:posOffset>
              </wp:positionV>
              <wp:extent cx="29972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997200" cy="139700"/>
                      </a:xfrm>
                      <a:prstGeom prst="rect">
                        <a:avLst/>
                      </a:prstGeom>
                      <a:noFill/>
                      <a:ln>
                        <a:noFill/>
                      </a:ln>
                    </wps:spPr>
                    <wps:txbx>
                      <w:txbxContent>
                        <w:p>
                          <w:pPr>
                            <w:spacing w:before="0" w:line="220" w:lineRule="exact"/>
                            <w:ind w:left="20" w:right="0" w:firstLine="0"/>
                            <w:jc w:val="left"/>
                            <w:rPr>
                              <w:sz w:val="18"/>
                            </w:rPr>
                          </w:pPr>
                          <w:r>
                            <w:rPr>
                              <w:sz w:val="18"/>
                            </w:rPr>
                            <w:t>项目名称：</w:t>
                          </w:r>
                          <w:r>
                            <w:rPr>
                              <w:rFonts w:hint="eastAsia"/>
                              <w:sz w:val="18"/>
                              <w:lang w:eastAsia="zh-CN"/>
                            </w:rPr>
                            <w:t>广东科学中心</w:t>
                          </w:r>
                          <w:r>
                            <w:rPr>
                              <w:rFonts w:hint="eastAsia"/>
                              <w:sz w:val="18"/>
                              <w:lang w:val="en-US" w:eastAsia="zh-CN"/>
                            </w:rPr>
                            <w:t>2022年度</w:t>
                          </w:r>
                          <w:r>
                            <w:rPr>
                              <w:rFonts w:hint="eastAsia"/>
                              <w:sz w:val="18"/>
                              <w:lang w:eastAsia="zh-CN"/>
                            </w:rPr>
                            <w:t>零星</w:t>
                          </w:r>
                          <w:r>
                            <w:rPr>
                              <w:sz w:val="18"/>
                            </w:rPr>
                            <w:t>项目造价咨询服务</w:t>
                          </w:r>
                        </w:p>
                      </w:txbxContent>
                    </wps:txbx>
                    <wps:bodyPr lIns="0" tIns="0" rIns="0" bIns="0" upright="1"/>
                  </wps:wsp>
                </a:graphicData>
              </a:graphic>
            </wp:anchor>
          </w:drawing>
        </mc:Choice>
        <mc:Fallback>
          <w:pict>
            <v:shape id="_x0000_s1026" o:spid="_x0000_s1026" o:spt="202" type="#_x0000_t202" style="position:absolute;left:0pt;margin-left:72.65pt;margin-top:40pt;height:11pt;width:236pt;mso-position-horizontal-relative:page;mso-position-vertical-relative:page;z-index:-251657216;mso-width-relative:page;mso-height-relative:page;" filled="f" stroked="f" coordsize="21600,21600" o:gfxdata="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hMc3NcAAAAKAQAADwAAAAAAAAABACAAAAAiAAAAZHJzL2Rvd25yZXYueG1sUEsBAhQA&#10;FAAAAAgAh07iQLWiK7O6AQAAcgMAAA4AAAAAAAAAAQAgAAAAJgEAAGRycy9lMm9Eb2MueG1sUEsF&#10;BgAAAAAGAAYAWQEAAFIFAAAAAA==&#10;">
              <v:fill on="f" focussize="0,0"/>
              <v:stroke on="f"/>
              <v:imagedata o:title=""/>
              <o:lock v:ext="edit" aspectratio="f"/>
              <v:textbox inset="0mm,0mm,0mm,0mm">
                <w:txbxContent>
                  <w:p>
                    <w:pPr>
                      <w:spacing w:before="0" w:line="220" w:lineRule="exact"/>
                      <w:ind w:left="20" w:right="0" w:firstLine="0"/>
                      <w:jc w:val="left"/>
                      <w:rPr>
                        <w:sz w:val="18"/>
                      </w:rPr>
                    </w:pPr>
                    <w:r>
                      <w:rPr>
                        <w:sz w:val="18"/>
                      </w:rPr>
                      <w:t>项目名称：</w:t>
                    </w:r>
                    <w:r>
                      <w:rPr>
                        <w:rFonts w:hint="eastAsia"/>
                        <w:sz w:val="18"/>
                        <w:lang w:eastAsia="zh-CN"/>
                      </w:rPr>
                      <w:t>广东科学中心</w:t>
                    </w:r>
                    <w:r>
                      <w:rPr>
                        <w:rFonts w:hint="eastAsia"/>
                        <w:sz w:val="18"/>
                        <w:lang w:val="en-US" w:eastAsia="zh-CN"/>
                      </w:rPr>
                      <w:t>2022年度</w:t>
                    </w:r>
                    <w:r>
                      <w:rPr>
                        <w:rFonts w:hint="eastAsia"/>
                        <w:sz w:val="18"/>
                        <w:lang w:eastAsia="zh-CN"/>
                      </w:rPr>
                      <w:t>零星</w:t>
                    </w:r>
                    <w:r>
                      <w:rPr>
                        <w:sz w:val="18"/>
                      </w:rPr>
                      <w:t>项目造价咨询服务</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1F59F"/>
    <w:multiLevelType w:val="singleLevel"/>
    <w:tmpl w:val="A8F1F59F"/>
    <w:lvl w:ilvl="0" w:tentative="0">
      <w:start w:val="1"/>
      <w:numFmt w:val="decimal"/>
      <w:lvlText w:val="%1."/>
      <w:lvlJc w:val="left"/>
      <w:pPr>
        <w:ind w:left="425" w:hanging="425"/>
      </w:pPr>
      <w:rPr>
        <w:rFonts w:hint="default"/>
      </w:rPr>
    </w:lvl>
  </w:abstractNum>
  <w:abstractNum w:abstractNumId="1">
    <w:nsid w:val="D20C700B"/>
    <w:multiLevelType w:val="singleLevel"/>
    <w:tmpl w:val="D20C700B"/>
    <w:lvl w:ilvl="0" w:tentative="0">
      <w:start w:val="1"/>
      <w:numFmt w:val="decimal"/>
      <w:lvlText w:val="(%1)"/>
      <w:lvlJc w:val="left"/>
      <w:pPr>
        <w:ind w:left="425" w:hanging="425"/>
      </w:pPr>
      <w:rPr>
        <w:rFonts w:hint="default"/>
      </w:rPr>
    </w:lvl>
  </w:abstractNum>
  <w:abstractNum w:abstractNumId="2">
    <w:nsid w:val="E1D82B81"/>
    <w:multiLevelType w:val="singleLevel"/>
    <w:tmpl w:val="E1D82B81"/>
    <w:lvl w:ilvl="0" w:tentative="0">
      <w:start w:val="1"/>
      <w:numFmt w:val="decimal"/>
      <w:lvlText w:val="%1."/>
      <w:lvlJc w:val="left"/>
      <w:pPr>
        <w:ind w:left="425" w:hanging="425"/>
      </w:pPr>
      <w:rPr>
        <w:rFonts w:hint="default"/>
      </w:rPr>
    </w:lvl>
  </w:abstractNum>
  <w:abstractNum w:abstractNumId="3">
    <w:nsid w:val="0258B917"/>
    <w:multiLevelType w:val="singleLevel"/>
    <w:tmpl w:val="0258B917"/>
    <w:lvl w:ilvl="0" w:tentative="0">
      <w:start w:val="1"/>
      <w:numFmt w:val="decimal"/>
      <w:suff w:val="nothing"/>
      <w:lvlText w:val="%1．"/>
      <w:lvlJc w:val="left"/>
      <w:pPr>
        <w:ind w:left="0" w:firstLine="400"/>
      </w:pPr>
      <w:rPr>
        <w:rFonts w:hint="default"/>
      </w:rPr>
    </w:lvl>
  </w:abstractNum>
  <w:abstractNum w:abstractNumId="4">
    <w:nsid w:val="0BBA1A16"/>
    <w:multiLevelType w:val="singleLevel"/>
    <w:tmpl w:val="0BBA1A16"/>
    <w:lvl w:ilvl="0" w:tentative="0">
      <w:start w:val="1"/>
      <w:numFmt w:val="decimal"/>
      <w:lvlText w:val="%1."/>
      <w:lvlJc w:val="left"/>
      <w:pPr>
        <w:ind w:left="425" w:hanging="425"/>
      </w:pPr>
      <w:rPr>
        <w:rFonts w:hint="default"/>
      </w:rPr>
    </w:lvl>
  </w:abstractNum>
  <w:abstractNum w:abstractNumId="5">
    <w:nsid w:val="42667A89"/>
    <w:multiLevelType w:val="singleLevel"/>
    <w:tmpl w:val="42667A89"/>
    <w:lvl w:ilvl="0" w:tentative="0">
      <w:start w:val="1"/>
      <w:numFmt w:val="decimal"/>
      <w:suff w:val="nothing"/>
      <w:lvlText w:val="%1．"/>
      <w:lvlJc w:val="left"/>
      <w:pPr>
        <w:ind w:left="0" w:firstLine="400"/>
      </w:pPr>
      <w:rPr>
        <w:rFonts w:hint="default"/>
      </w:rPr>
    </w:lvl>
  </w:abstractNum>
  <w:abstractNum w:abstractNumId="6">
    <w:nsid w:val="437AFA90"/>
    <w:multiLevelType w:val="singleLevel"/>
    <w:tmpl w:val="437AFA90"/>
    <w:lvl w:ilvl="0" w:tentative="0">
      <w:start w:val="1"/>
      <w:numFmt w:val="chineseCounting"/>
      <w:suff w:val="nothing"/>
      <w:lvlText w:val="%1、"/>
      <w:lvlJc w:val="left"/>
      <w:pPr>
        <w:ind w:left="0" w:firstLine="420"/>
      </w:pPr>
      <w:rPr>
        <w:rFonts w:hint="eastAsia"/>
      </w:rPr>
    </w:lvl>
  </w:abstractNum>
  <w:abstractNum w:abstractNumId="7">
    <w:nsid w:val="5DB10E07"/>
    <w:multiLevelType w:val="singleLevel"/>
    <w:tmpl w:val="5DB10E07"/>
    <w:lvl w:ilvl="0" w:tentative="0">
      <w:start w:val="1"/>
      <w:numFmt w:val="decimal"/>
      <w:lvlText w:val="(%1)"/>
      <w:lvlJc w:val="left"/>
      <w:pPr>
        <w:ind w:left="425" w:hanging="425"/>
      </w:pPr>
      <w:rPr>
        <w:rFonts w:hint="default"/>
      </w:rPr>
    </w:lvl>
  </w:abstractNum>
  <w:abstractNum w:abstractNumId="8">
    <w:nsid w:val="71AC6B87"/>
    <w:multiLevelType w:val="singleLevel"/>
    <w:tmpl w:val="71AC6B87"/>
    <w:lvl w:ilvl="0" w:tentative="0">
      <w:start w:val="1"/>
      <w:numFmt w:val="decimal"/>
      <w:suff w:val="nothing"/>
      <w:lvlText w:val="%1．"/>
      <w:lvlJc w:val="left"/>
      <w:pPr>
        <w:ind w:left="0" w:firstLine="400"/>
      </w:pPr>
      <w:rPr>
        <w:rFonts w:hint="default"/>
      </w:rPr>
    </w:lvl>
  </w:abstractNum>
  <w:num w:numId="1">
    <w:abstractNumId w:val="6"/>
  </w:num>
  <w:num w:numId="2">
    <w:abstractNumId w:val="0"/>
  </w:num>
  <w:num w:numId="3">
    <w:abstractNumId w:val="1"/>
  </w:num>
  <w:num w:numId="4">
    <w:abstractNumId w:val="2"/>
  </w:num>
  <w:num w:numId="5">
    <w:abstractNumId w:val="4"/>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FB"/>
    <w:rsid w:val="000474AB"/>
    <w:rsid w:val="00057293"/>
    <w:rsid w:val="00083062"/>
    <w:rsid w:val="000B6643"/>
    <w:rsid w:val="000C3F44"/>
    <w:rsid w:val="001548B3"/>
    <w:rsid w:val="00161FA5"/>
    <w:rsid w:val="00165F7E"/>
    <w:rsid w:val="00167648"/>
    <w:rsid w:val="001C70AB"/>
    <w:rsid w:val="00217936"/>
    <w:rsid w:val="002544E2"/>
    <w:rsid w:val="00256392"/>
    <w:rsid w:val="00256A12"/>
    <w:rsid w:val="0028242E"/>
    <w:rsid w:val="002B2107"/>
    <w:rsid w:val="00306CCE"/>
    <w:rsid w:val="003412D7"/>
    <w:rsid w:val="003943C9"/>
    <w:rsid w:val="00396C69"/>
    <w:rsid w:val="003D2342"/>
    <w:rsid w:val="003F6887"/>
    <w:rsid w:val="00422615"/>
    <w:rsid w:val="00450057"/>
    <w:rsid w:val="004E57B4"/>
    <w:rsid w:val="004F60F0"/>
    <w:rsid w:val="005260EE"/>
    <w:rsid w:val="005427DF"/>
    <w:rsid w:val="005E634A"/>
    <w:rsid w:val="0066025F"/>
    <w:rsid w:val="006953C2"/>
    <w:rsid w:val="006C0146"/>
    <w:rsid w:val="006C1ED9"/>
    <w:rsid w:val="00794FFA"/>
    <w:rsid w:val="007C2956"/>
    <w:rsid w:val="00805200"/>
    <w:rsid w:val="00812395"/>
    <w:rsid w:val="008164BA"/>
    <w:rsid w:val="00821322"/>
    <w:rsid w:val="00824397"/>
    <w:rsid w:val="0085619A"/>
    <w:rsid w:val="00862E5A"/>
    <w:rsid w:val="00875CFA"/>
    <w:rsid w:val="008B16A5"/>
    <w:rsid w:val="008B74DD"/>
    <w:rsid w:val="008C4E71"/>
    <w:rsid w:val="008D4DA4"/>
    <w:rsid w:val="008D6D78"/>
    <w:rsid w:val="008F0976"/>
    <w:rsid w:val="009670F6"/>
    <w:rsid w:val="00A02BF4"/>
    <w:rsid w:val="00A15433"/>
    <w:rsid w:val="00A617D4"/>
    <w:rsid w:val="00AA50CE"/>
    <w:rsid w:val="00AF6AB4"/>
    <w:rsid w:val="00BC57AF"/>
    <w:rsid w:val="00BD7566"/>
    <w:rsid w:val="00C04710"/>
    <w:rsid w:val="00C04DAF"/>
    <w:rsid w:val="00C56253"/>
    <w:rsid w:val="00C82750"/>
    <w:rsid w:val="00CC1E09"/>
    <w:rsid w:val="00CC42FB"/>
    <w:rsid w:val="00CD000B"/>
    <w:rsid w:val="00CE674A"/>
    <w:rsid w:val="00CF6D23"/>
    <w:rsid w:val="00D021C9"/>
    <w:rsid w:val="00D22A28"/>
    <w:rsid w:val="00D368BA"/>
    <w:rsid w:val="00DA4421"/>
    <w:rsid w:val="00DC6863"/>
    <w:rsid w:val="00DF7B9E"/>
    <w:rsid w:val="00E2147F"/>
    <w:rsid w:val="00F21315"/>
    <w:rsid w:val="00F45194"/>
    <w:rsid w:val="00F64AB5"/>
    <w:rsid w:val="039C7575"/>
    <w:rsid w:val="05960EA2"/>
    <w:rsid w:val="10C156F8"/>
    <w:rsid w:val="10CC4238"/>
    <w:rsid w:val="142B534C"/>
    <w:rsid w:val="15E15115"/>
    <w:rsid w:val="16FC56DF"/>
    <w:rsid w:val="18593B10"/>
    <w:rsid w:val="1F873A2B"/>
    <w:rsid w:val="24CA12F9"/>
    <w:rsid w:val="25DE0C5B"/>
    <w:rsid w:val="2B7B1995"/>
    <w:rsid w:val="2C82553F"/>
    <w:rsid w:val="2ED175E8"/>
    <w:rsid w:val="2EFE030C"/>
    <w:rsid w:val="380671B3"/>
    <w:rsid w:val="3E666961"/>
    <w:rsid w:val="3EBF3D67"/>
    <w:rsid w:val="418B3D1B"/>
    <w:rsid w:val="44240067"/>
    <w:rsid w:val="47A71536"/>
    <w:rsid w:val="4BF1292E"/>
    <w:rsid w:val="4DAB63F2"/>
    <w:rsid w:val="53D87D60"/>
    <w:rsid w:val="59DD3048"/>
    <w:rsid w:val="5D895D85"/>
    <w:rsid w:val="5E682666"/>
    <w:rsid w:val="608C0EE3"/>
    <w:rsid w:val="6872053F"/>
    <w:rsid w:val="6F3A4361"/>
    <w:rsid w:val="702B5FBF"/>
    <w:rsid w:val="71161CA8"/>
    <w:rsid w:val="71AA07A0"/>
    <w:rsid w:val="72B8129E"/>
    <w:rsid w:val="7558482D"/>
    <w:rsid w:val="75622547"/>
    <w:rsid w:val="76C00349"/>
    <w:rsid w:val="7E5E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9"/>
    <w:basedOn w:val="1"/>
    <w:next w:val="1"/>
    <w:qFormat/>
    <w:uiPriority w:val="1"/>
    <w:pPr>
      <w:ind w:left="611"/>
      <w:outlineLvl w:val="9"/>
    </w:pPr>
    <w:rPr>
      <w:rFonts w:ascii="宋体" w:hAnsi="宋体" w:eastAsia="宋体" w:cs="宋体"/>
      <w:b/>
      <w:bCs/>
      <w:sz w:val="21"/>
      <w:szCs w:val="21"/>
      <w:lang w:val="zh-CN" w:eastAsia="zh-CN" w:bidi="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szCs w:val="24"/>
    </w:rPr>
  </w:style>
  <w:style w:type="paragraph" w:styleId="3">
    <w:name w:val="Body Text"/>
    <w:basedOn w:val="1"/>
    <w:qFormat/>
    <w:uiPriority w:val="1"/>
    <w:rPr>
      <w:rFonts w:ascii="宋体" w:hAnsi="宋体" w:eastAsia="宋体" w:cs="宋体"/>
      <w:sz w:val="21"/>
      <w:szCs w:val="21"/>
      <w:lang w:val="zh-CN" w:eastAsia="zh-CN" w:bidi="zh-CN"/>
    </w:rPr>
  </w:style>
  <w:style w:type="paragraph" w:styleId="5">
    <w:name w:val="annotation text"/>
    <w:basedOn w:val="1"/>
    <w:qFormat/>
    <w:uiPriority w:val="0"/>
    <w:pPr>
      <w:jc w:val="left"/>
    </w:pPr>
    <w:rPr>
      <w:rFonts w:asciiTheme="minorHAnsi" w:hAnsiTheme="minorHAnsi" w:eastAsiaTheme="minorEastAsia" w:cstheme="minorBidi"/>
    </w:rPr>
  </w:style>
  <w:style w:type="paragraph" w:styleId="6">
    <w:name w:val="Plain Text"/>
    <w:basedOn w:val="1"/>
    <w:unhideWhenUsed/>
    <w:qFormat/>
    <w:uiPriority w:val="0"/>
    <w:rPr>
      <w:rFonts w:ascii="宋体" w:hAnsi="Courier New" w:cs="Courier New"/>
      <w:szCs w:val="21"/>
    </w:rPr>
  </w:style>
  <w:style w:type="paragraph" w:styleId="7">
    <w:name w:val="Balloon Text"/>
    <w:basedOn w:val="1"/>
    <w:link w:val="16"/>
    <w:semiHidden/>
    <w:unhideWhenUsed/>
    <w:qFormat/>
    <w:uiPriority w:val="99"/>
    <w:rPr>
      <w:sz w:val="18"/>
      <w:szCs w:val="18"/>
    </w:rPr>
  </w:style>
  <w:style w:type="paragraph" w:styleId="8">
    <w:name w:val="footer"/>
    <w:basedOn w:val="1"/>
    <w:link w:val="15"/>
    <w:semiHidden/>
    <w:unhideWhenUsed/>
    <w:qFormat/>
    <w:uiPriority w:val="99"/>
    <w:pPr>
      <w:tabs>
        <w:tab w:val="center" w:pos="4153"/>
        <w:tab w:val="right" w:pos="8306"/>
      </w:tabs>
      <w:snapToGrid w:val="0"/>
      <w:jc w:val="left"/>
    </w:pPr>
    <w:rPr>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annotation reference"/>
    <w:unhideWhenUsed/>
    <w:qFormat/>
    <w:uiPriority w:val="0"/>
    <w:rPr>
      <w:sz w:val="21"/>
      <w:szCs w:val="21"/>
    </w:rPr>
  </w:style>
  <w:style w:type="character" w:customStyle="1" w:styleId="14">
    <w:name w:val="页眉 Char"/>
    <w:basedOn w:val="12"/>
    <w:link w:val="9"/>
    <w:semiHidden/>
    <w:qFormat/>
    <w:uiPriority w:val="99"/>
    <w:rPr>
      <w:sz w:val="18"/>
      <w:szCs w:val="18"/>
    </w:rPr>
  </w:style>
  <w:style w:type="character" w:customStyle="1" w:styleId="15">
    <w:name w:val="页脚 Char"/>
    <w:basedOn w:val="12"/>
    <w:link w:val="8"/>
    <w:semiHidden/>
    <w:qFormat/>
    <w:uiPriority w:val="99"/>
    <w:rPr>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普通(网站)1"/>
    <w:basedOn w:val="1"/>
    <w:qFormat/>
    <w:uiPriority w:val="0"/>
    <w:pPr>
      <w:spacing w:before="100" w:beforeAutospacing="1" w:after="100" w:afterAutospacing="1"/>
    </w:pPr>
    <w:rPr>
      <w:rFonts w:ascii="宋体" w:hAnsi="宋体" w:cs="宋体"/>
      <w:sz w:val="24"/>
    </w:rPr>
  </w:style>
  <w:style w:type="paragraph" w:customStyle="1" w:styleId="21">
    <w:name w:val="_Style 4"/>
    <w:basedOn w:val="19"/>
    <w:qFormat/>
    <w:uiPriority w:val="0"/>
    <w:pPr>
      <w:ind w:firstLine="420" w:firstLineChars="200"/>
    </w:pPr>
    <w:rPr>
      <w:rFonts w:ascii="Calibri" w:hAnsi="Calibri"/>
    </w:rPr>
  </w:style>
  <w:style w:type="paragraph" w:customStyle="1" w:styleId="2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126</Words>
  <Characters>721</Characters>
  <Lines>6</Lines>
  <Paragraphs>1</Paragraphs>
  <TotalTime>16</TotalTime>
  <ScaleCrop>false</ScaleCrop>
  <LinksUpToDate>false</LinksUpToDate>
  <CharactersWithSpaces>846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2018-09-29T07:02:00Z</dcterms:created>
  <dc:creator>傅强</dc:creator>
  <cp:lastModifiedBy>　荣</cp:lastModifiedBy>
  <cp:lastPrinted>2020-11-12T01:21:00Z</cp:lastPrinted>
  <dcterms:modified xsi:type="dcterms:W3CDTF">2022-01-25T06:29:18Z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136619F6BC8B4B6692FDF2F67E702716</vt:lpwstr>
  </property>
</Properties>
</file>